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167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16763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van der Horst Edward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SENSEI BIOTHERAPEUTICS,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 D STREET, SUITE 710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10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Sensei Biotherapeutics,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SNSE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02/15/2023</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387"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9"/>
          </w:tcPr>
          <w:p>
            <w:pPr>
              <w:jc w:val="center"/>
              <w:ind w:right="31"/>
              <w:spacing w:after="0" w:line="146" w:lineRule="exact"/>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40" w:type="dxa"/>
            <w:vAlign w:val="bottom"/>
            <w:gridSpan w:val="10"/>
            <w:vMerge w:val="restart"/>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02210</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02/15/2023</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23,565</w:t>
            </w:r>
            <w:r>
              <w:rPr>
                <w:rFonts w:ascii="Times New Roman" w:cs="Times New Roman" w:eastAsia="Times New Roman" w:hAnsi="Times New Roman"/>
                <w:sz w:val="21"/>
                <w:szCs w:val="21"/>
                <w:color w:val="008000"/>
                <w:w w:val="91"/>
                <w:vertAlign w:val="superscript"/>
              </w:rPr>
              <w:t>(1)</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8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44,738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02/15/2023</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17,700</w:t>
            </w:r>
            <w:r>
              <w:rPr>
                <w:rFonts w:ascii="Times New Roman" w:cs="Times New Roman" w:eastAsia="Times New Roman" w:hAnsi="Times New Roman"/>
                <w:sz w:val="21"/>
                <w:szCs w:val="21"/>
                <w:color w:val="008000"/>
                <w:w w:val="91"/>
                <w:vertAlign w:val="superscript"/>
              </w:rPr>
              <w:t>(2)</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8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62,438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10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56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1.43</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02/15/2023</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75,000</w:t>
            </w:r>
          </w:p>
        </w:tc>
        <w:tc>
          <w:tcPr>
            <w:tcW w:w="320" w:type="dxa"/>
            <w:vAlign w:val="bottom"/>
          </w:tcPr>
          <w:p>
            <w:pPr>
              <w:spacing w:after="0"/>
              <w:rPr>
                <w:sz w:val="16"/>
                <w:szCs w:val="16"/>
                <w:color w:val="auto"/>
              </w:rPr>
            </w:pP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02/14/2033</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75,000</w:t>
            </w:r>
          </w:p>
        </w:tc>
        <w:tc>
          <w:tcPr>
            <w:tcW w:w="60" w:type="dxa"/>
            <w:vAlign w:val="bottom"/>
          </w:tcPr>
          <w:p>
            <w:pPr>
              <w:spacing w:after="0"/>
              <w:rPr>
                <w:sz w:val="16"/>
                <w:szCs w:val="16"/>
                <w:color w:val="auto"/>
              </w:rPr>
            </w:pPr>
          </w:p>
        </w:tc>
        <w:tc>
          <w:tcPr>
            <w:tcW w:w="68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75,000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ind w:left="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represent restricted stock units (the "RSUs"). Each RSU represents a contingent right to receive one share of the common stock of the Issuer. The shares underlying the RSUs are fully vested.</w:t>
      </w:r>
    </w:p>
    <w:p>
      <w:pPr>
        <w:spacing w:after="0" w:line="43" w:lineRule="exact"/>
        <w:rPr>
          <w:rFonts w:ascii="Times New Roman" w:cs="Times New Roman" w:eastAsia="Times New Roman" w:hAnsi="Times New Roman"/>
          <w:sz w:val="13"/>
          <w:szCs w:val="13"/>
          <w:color w:val="008000"/>
        </w:rPr>
      </w:pPr>
    </w:p>
    <w:p>
      <w:pPr>
        <w:ind w:left="40" w:right="2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represent RSUs. Each RSU represents a contingent right to receive one share of the common stock of the Issuer. The shares underlying the RSUs vest in four equal annual installments on each of February 15, 2024, February 15, 2025, February 15, 2026 and February 15, 2027, subject to the Reporting Person's continuous service with the Issuer as of each such date.</w:t>
      </w:r>
    </w:p>
    <w:p>
      <w:pPr>
        <w:spacing w:after="0" w:line="17" w:lineRule="exact"/>
        <w:rPr>
          <w:rFonts w:ascii="Times New Roman" w:cs="Times New Roman" w:eastAsia="Times New Roman" w:hAnsi="Times New Roman"/>
          <w:sz w:val="13"/>
          <w:szCs w:val="13"/>
          <w:color w:val="008000"/>
        </w:rPr>
      </w:pPr>
    </w:p>
    <w:p>
      <w:pPr>
        <w:ind w:left="40" w:right="1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shall vest over a period of four years as follows: 25% of the total number of shares subject to the option shall vest on February 15, 2024, and the remainder will vest 1/48th of total number of shares subject to the option monthly thereafter over the remaining three years, subject to the Reporting Person's continuous service with the Issuer as of each such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2"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Mark Ballantyne, Attorney-</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02/17/2023</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57499" TargetMode="External"/><Relationship Id="rId13" Type="http://schemas.openxmlformats.org/officeDocument/2006/relationships/hyperlink" Target="http://www.sec.gov/cgi-bin/browse-edgar?action=getcompany&amp;CIK=00018298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2023-02-17T16:35:15Z</dcterms:created>
  <dcterms:modified xsi:type="dcterms:W3CDTF">2023-02-17T16:35:15Z</dcterms:modified>
</cp:coreProperties>
</file>