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79375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66" w:lineRule="exact"/>
        <w:rPr>
          <w:sz w:val="24"/>
          <w:szCs w:val="24"/>
          <w:color w:val="auto"/>
        </w:rPr>
      </w:pPr>
    </w:p>
    <w:p>
      <w:pPr>
        <w:ind w:left="3820" w:right="1600" w:hanging="3812"/>
        <w:spacing w:after="0" w:line="215" w:lineRule="auto"/>
        <w:tabs>
          <w:tab w:leader="none" w:pos="477" w:val="left"/>
        </w:tabs>
        <w:numPr>
          <w:ilvl w:val="0"/>
          <w:numId w:val="1"/>
        </w:numPr>
        <w:rPr>
          <w:rFonts w:ascii="MS PGothic" w:cs="MS PGothic" w:eastAsia="MS PGothic" w:hAnsi="MS PGothic"/>
          <w:sz w:val="36"/>
          <w:szCs w:val="36"/>
          <w:color w:val="auto"/>
          <w:highlight w:val="black"/>
          <w:vertAlign w:val="superscript"/>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2025</w:t>
      </w:r>
    </w:p>
    <w:p>
      <w:pPr>
        <w:spacing w:after="0" w:line="3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7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 FOR THE</w:t>
      </w:r>
    </w:p>
    <w:p>
      <w:pPr>
        <w:spacing w:after="0" w:line="45" w:lineRule="exact"/>
        <w:rPr>
          <w:sz w:val="24"/>
          <w:szCs w:val="24"/>
          <w:color w:val="auto"/>
        </w:rPr>
      </w:pPr>
    </w:p>
    <w:p>
      <w:pPr>
        <w:ind w:left="460"/>
        <w:spacing w:after="0"/>
        <w:tabs>
          <w:tab w:leader="none" w:pos="3920" w:val="left"/>
        </w:tabs>
        <w:rPr>
          <w:sz w:val="20"/>
          <w:szCs w:val="20"/>
          <w:color w:val="auto"/>
        </w:rPr>
      </w:pPr>
      <w:r>
        <w:rPr>
          <w:rFonts w:ascii="Times New Roman" w:cs="Times New Roman" w:eastAsia="Times New Roman" w:hAnsi="Times New Roman"/>
          <w:sz w:val="18"/>
          <w:szCs w:val="18"/>
          <w:b w:val="1"/>
          <w:bCs w:val="1"/>
          <w:color w:val="auto"/>
        </w:rPr>
        <w:t>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001-39980</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Sensei Biotherapeutics,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-289560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ectPr>
          <w:pgSz w:w="11900" w:h="16838" w:orient="portrait"/>
          <w:cols w:equalWidth="0" w:num="1">
            <w:col w:w="11240"/>
          </w:cols>
          <w:pgMar w:left="320" w:top="1181" w:right="339" w:bottom="1440" w:gutter="0" w:footer="0" w:header="0"/>
        </w:sectPr>
      </w:pPr>
    </w:p>
    <w:p>
      <w:pPr>
        <w:spacing w:after="0" w:line="5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7" w:lineRule="exact"/>
        <w:rPr>
          <w:sz w:val="24"/>
          <w:szCs w:val="24"/>
          <w:color w:val="auto"/>
        </w:rPr>
      </w:pPr>
    </w:p>
    <w:p>
      <w:pPr>
        <w:jc w:val="center"/>
        <w:ind w:right="204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15"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2" w:lineRule="exact"/>
        <w:rPr>
          <w:sz w:val="24"/>
          <w:szCs w:val="24"/>
          <w:color w:val="auto"/>
        </w:rPr>
      </w:pPr>
    </w:p>
    <w:p>
      <w:pPr>
        <w:jc w:val="center"/>
        <w:ind w:right="2260"/>
        <w:spacing w:after="0"/>
        <w:rPr>
          <w:sz w:val="20"/>
          <w:szCs w:val="20"/>
          <w:color w:val="auto"/>
        </w:rPr>
      </w:pPr>
      <w:r>
        <w:rPr>
          <w:rFonts w:ascii="Times New Roman" w:cs="Times New Roman" w:eastAsia="Times New Roman" w:hAnsi="Times New Roman"/>
          <w:sz w:val="16"/>
          <w:szCs w:val="16"/>
          <w:b w:val="1"/>
          <w:bCs w:val="1"/>
          <w:color w:val="auto"/>
        </w:rPr>
        <w:t>83-1863385</w:t>
      </w:r>
    </w:p>
    <w:p>
      <w:pPr>
        <w:spacing w:after="0" w:line="2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46" w:lineRule="exact"/>
        <w:rPr>
          <w:sz w:val="24"/>
          <w:szCs w:val="24"/>
          <w:color w:val="auto"/>
        </w:rPr>
      </w:pPr>
    </w:p>
    <w:p>
      <w:pPr>
        <w:sectPr>
          <w:pgSz w:w="11900" w:h="16838" w:orient="portrait"/>
          <w:cols w:equalWidth="0" w:num="2">
            <w:col w:w="7660" w:space="200"/>
            <w:col w:w="3380"/>
          </w:cols>
          <w:pgMar w:left="320" w:top="1181" w:right="339" w:bottom="1440" w:gutter="0" w:footer="0" w:header="0"/>
          <w:type w:val="continuous"/>
        </w:sectPr>
      </w:pPr>
    </w:p>
    <w:p>
      <w:pPr>
        <w:ind w:left="1760"/>
        <w:spacing w:after="0"/>
        <w:rPr>
          <w:sz w:val="20"/>
          <w:szCs w:val="20"/>
          <w:color w:val="auto"/>
        </w:rPr>
      </w:pPr>
      <w:r>
        <w:rPr>
          <w:rFonts w:ascii="Times New Roman" w:cs="Times New Roman" w:eastAsia="Times New Roman" w:hAnsi="Times New Roman"/>
          <w:sz w:val="16"/>
          <w:szCs w:val="16"/>
          <w:b w:val="1"/>
          <w:bCs w:val="1"/>
          <w:color w:val="auto"/>
        </w:rPr>
        <w:t>1405 Research Blvd, Suite 125</w:t>
      </w:r>
    </w:p>
    <w:p>
      <w:pPr>
        <w:spacing w:after="0" w:line="28" w:lineRule="exact"/>
        <w:rPr>
          <w:sz w:val="24"/>
          <w:szCs w:val="24"/>
          <w:color w:val="auto"/>
        </w:rPr>
      </w:pPr>
    </w:p>
    <w:p>
      <w:pPr>
        <w:ind w:left="2320"/>
        <w:spacing w:after="0"/>
        <w:tabs>
          <w:tab w:leader="none" w:pos="8200" w:val="left"/>
        </w:tabs>
        <w:rPr>
          <w:sz w:val="20"/>
          <w:szCs w:val="20"/>
          <w:color w:val="auto"/>
        </w:rPr>
      </w:pPr>
      <w:r>
        <w:rPr>
          <w:rFonts w:ascii="Times New Roman" w:cs="Times New Roman" w:eastAsia="Times New Roman" w:hAnsi="Times New Roman"/>
          <w:sz w:val="16"/>
          <w:szCs w:val="16"/>
          <w:b w:val="1"/>
          <w:bCs w:val="1"/>
          <w:color w:val="auto"/>
        </w:rPr>
        <w:t>Rockville, MD</w:t>
      </w:r>
      <w:r>
        <w:rPr>
          <w:sz w:val="20"/>
          <w:szCs w:val="20"/>
          <w:color w:val="auto"/>
        </w:rPr>
        <w:tab/>
      </w:r>
      <w:r>
        <w:rPr>
          <w:rFonts w:ascii="Times New Roman" w:cs="Times New Roman" w:eastAsia="Times New Roman" w:hAnsi="Times New Roman"/>
          <w:sz w:val="16"/>
          <w:szCs w:val="16"/>
          <w:b w:val="1"/>
          <w:bCs w:val="1"/>
          <w:color w:val="auto"/>
        </w:rPr>
        <w:t>20850</w:t>
      </w:r>
    </w:p>
    <w:p>
      <w:pPr>
        <w:spacing w:after="0" w:line="18" w:lineRule="exact"/>
        <w:rPr>
          <w:sz w:val="24"/>
          <w:szCs w:val="24"/>
          <w:color w:val="auto"/>
        </w:rPr>
      </w:pPr>
    </w:p>
    <w:p>
      <w:pPr>
        <w:ind w:left="1620"/>
        <w:spacing w:after="0"/>
        <w:tabs>
          <w:tab w:leader="none" w:pos="8080" w:val="left"/>
        </w:tabs>
        <w:rPr>
          <w:sz w:val="20"/>
          <w:szCs w:val="20"/>
          <w:color w:val="auto"/>
        </w:rPr>
      </w:pPr>
      <w:r>
        <w:rPr>
          <w:rFonts w:ascii="Times New Roman" w:cs="Times New Roman" w:eastAsia="Times New Roman" w:hAnsi="Times New Roman"/>
          <w:sz w:val="14"/>
          <w:szCs w:val="14"/>
          <w:b w:val="1"/>
          <w:bCs w:val="1"/>
          <w:color w:val="auto"/>
        </w:rPr>
        <w:t>(Address of principal executive offices)</w:t>
      </w:r>
      <w:r>
        <w:rPr>
          <w:sz w:val="20"/>
          <w:szCs w:val="20"/>
          <w:color w:val="auto"/>
        </w:rPr>
        <w:tab/>
      </w:r>
      <w:r>
        <w:rPr>
          <w:rFonts w:ascii="Times New Roman" w:cs="Times New Roman" w:eastAsia="Times New Roman" w:hAnsi="Times New Roman"/>
          <w:sz w:val="14"/>
          <w:szCs w:val="14"/>
          <w:b w:val="1"/>
          <w:bCs w:val="1"/>
          <w:color w:val="auto"/>
        </w:rPr>
        <w:t>(Zip Code)</w:t>
      </w:r>
    </w:p>
    <w:p>
      <w:pPr>
        <w:spacing w:after="0" w:line="32"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(240) 243-8000</w:t>
      </w:r>
    </w:p>
    <w:p>
      <w:pPr>
        <w:spacing w:after="0" w:line="11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-116205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55"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5"/>
                <w:szCs w:val="15"/>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20" w:type="dxa"/>
            <w:vAlign w:val="bottom"/>
          </w:tcPr>
          <w:p>
            <w:pPr>
              <w:spacing w:after="0"/>
              <w:rPr>
                <w:sz w:val="15"/>
                <w:szCs w:val="15"/>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4"/>
        </w:trPr>
        <w:tc>
          <w:tcPr>
            <w:tcW w:w="4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$0.0001 par value per share</w:t>
            </w:r>
          </w:p>
        </w:tc>
        <w:tc>
          <w:tcPr>
            <w:tcW w:w="12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SNSE</w:t>
            </w:r>
          </w:p>
        </w:tc>
        <w:tc>
          <w:tcPr>
            <w:tcW w:w="120" w:type="dxa"/>
            <w:vAlign w:val="bottom"/>
          </w:tcPr>
          <w:p>
            <w:pPr>
              <w:spacing w:after="0"/>
              <w:rPr>
                <w:sz w:val="17"/>
                <w:szCs w:val="17"/>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46" w:lineRule="exact"/>
        <w:rPr>
          <w:sz w:val="24"/>
          <w:szCs w:val="24"/>
          <w:color w:val="auto"/>
        </w:rPr>
      </w:pPr>
    </w:p>
    <w:p>
      <w:pPr>
        <w:ind w:right="32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2" w:lineRule="exact"/>
        <w:rPr>
          <w:sz w:val="24"/>
          <w:szCs w:val="24"/>
          <w:color w:val="auto"/>
        </w:rPr>
      </w:pPr>
    </w:p>
    <w:p>
      <w:pPr>
        <w:ind w:right="36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ind w:right="80"/>
        <w:spacing w:after="0" w:line="277"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16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78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380" w:type="dxa"/>
            <w:vAlign w:val="bottom"/>
          </w:tcPr>
          <w:p>
            <w:pPr>
              <w:ind w:left="3420"/>
              <w:spacing w:after="0"/>
              <w:rPr>
                <w:sz w:val="20"/>
                <w:szCs w:val="20"/>
                <w:color w:val="auto"/>
              </w:rPr>
            </w:pPr>
            <w:r>
              <w:rPr>
                <w:rFonts w:ascii="Times New Roman" w:cs="Times New Roman" w:eastAsia="Times New Roman" w:hAnsi="Times New Roman"/>
                <w:sz w:val="16"/>
                <w:szCs w:val="16"/>
                <w:color w:val="auto"/>
              </w:rPr>
              <w:t>Accelerated filer</w:t>
            </w:r>
          </w:p>
        </w:tc>
        <w:tc>
          <w:tcPr>
            <w:tcW w:w="320" w:type="dxa"/>
            <w:vAlign w:val="bottom"/>
          </w:tcPr>
          <w:p>
            <w:pPr>
              <w:ind w:left="1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6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78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380" w:type="dxa"/>
            <w:vAlign w:val="bottom"/>
          </w:tcPr>
          <w:p>
            <w:pPr>
              <w:ind w:left="34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20" w:type="dxa"/>
            <w:vAlign w:val="bottom"/>
          </w:tcPr>
          <w:p>
            <w:pPr>
              <w:ind w:left="1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680" w:type="dxa"/>
            <w:vAlign w:val="bottom"/>
          </w:tcPr>
          <w:p>
            <w:pPr>
              <w:spacing w:after="0"/>
              <w:rPr>
                <w:sz w:val="23"/>
                <w:szCs w:val="23"/>
                <w:color w:val="auto"/>
              </w:rPr>
            </w:pPr>
          </w:p>
        </w:tc>
        <w:tc>
          <w:tcPr>
            <w:tcW w:w="3780" w:type="dxa"/>
            <w:vAlign w:val="bottom"/>
          </w:tcPr>
          <w:p>
            <w:pPr>
              <w:spacing w:after="0"/>
              <w:rPr>
                <w:sz w:val="23"/>
                <w:szCs w:val="23"/>
                <w:color w:val="auto"/>
              </w:rPr>
            </w:pPr>
          </w:p>
        </w:tc>
        <w:tc>
          <w:tcPr>
            <w:tcW w:w="5380" w:type="dxa"/>
            <w:vAlign w:val="bottom"/>
          </w:tcPr>
          <w:p>
            <w:pPr>
              <w:ind w:left="3420"/>
              <w:spacing w:after="0"/>
              <w:rPr>
                <w:sz w:val="20"/>
                <w:szCs w:val="20"/>
                <w:color w:val="auto"/>
              </w:rPr>
            </w:pPr>
            <w:r>
              <w:rPr>
                <w:rFonts w:ascii="Times New Roman" w:cs="Times New Roman" w:eastAsia="Times New Roman" w:hAnsi="Times New Roman"/>
                <w:sz w:val="16"/>
                <w:szCs w:val="16"/>
                <w:color w:val="auto"/>
              </w:rPr>
              <w:t>Emerging growth company</w:t>
            </w:r>
          </w:p>
        </w:tc>
        <w:tc>
          <w:tcPr>
            <w:tcW w:w="320" w:type="dxa"/>
            <w:vAlign w:val="bottom"/>
          </w:tcPr>
          <w:p>
            <w:pPr>
              <w:ind w:left="1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34" w:lineRule="exact"/>
        <w:rPr>
          <w:sz w:val="24"/>
          <w:szCs w:val="24"/>
          <w:color w:val="auto"/>
        </w:rPr>
      </w:pPr>
    </w:p>
    <w:p>
      <w:pPr>
        <w:ind w:right="56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right="2780"/>
        <w:spacing w:after="0" w:line="24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The number of shares of Registrant’s Common Stock outstanding as of May 2, 2025 was 25,208,068.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814705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1"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28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0563C1"/>
                <w:w w:val="99"/>
              </w:rPr>
              <w:t>FINANCIAL INFORMATION</w:t>
            </w:r>
          </w:p>
        </w:tc>
        <w:tc>
          <w:tcPr>
            <w:tcW w:w="7040" w:type="dxa"/>
            <w:vAlign w:val="bottom"/>
            <w:gridSpan w:val="11"/>
            <w:vMerge w:val="restart"/>
          </w:tcPr>
          <w:p>
            <w:pPr>
              <w:spacing w:after="0"/>
              <w:rPr>
                <w:sz w:val="15"/>
                <w:szCs w:val="15"/>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1140" w:type="dxa"/>
            <w:vAlign w:val="bottom"/>
            <w:vMerge w:val="continue"/>
          </w:tcPr>
          <w:p>
            <w:pPr>
              <w:spacing w:after="0"/>
              <w:rPr>
                <w:sz w:val="14"/>
                <w:szCs w:val="14"/>
                <w:color w:val="auto"/>
              </w:rPr>
            </w:pPr>
          </w:p>
        </w:tc>
        <w:tc>
          <w:tcPr>
            <w:tcW w:w="2280" w:type="dxa"/>
            <w:vAlign w:val="bottom"/>
            <w:tcBorders>
              <w:bottom w:val="single" w:sz="8" w:color="0563C1"/>
            </w:tcBorders>
            <w:gridSpan w:val="10"/>
            <w:vMerge w:val="continue"/>
          </w:tcPr>
          <w:p>
            <w:pPr>
              <w:spacing w:after="0"/>
              <w:rPr>
                <w:sz w:val="14"/>
                <w:szCs w:val="14"/>
                <w:color w:val="auto"/>
              </w:rPr>
            </w:pPr>
          </w:p>
        </w:tc>
        <w:tc>
          <w:tcPr>
            <w:tcW w:w="7040" w:type="dxa"/>
            <w:vAlign w:val="bottom"/>
            <w:gridSpan w:val="11"/>
            <w:vMerge w:val="continue"/>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4260" w:type="dxa"/>
            <w:vAlign w:val="bottom"/>
            <w:tcBorders>
              <w:bottom w:val="single" w:sz="8" w:color="0563C1"/>
            </w:tcBorders>
            <w:gridSpan w:val="13"/>
          </w:tcPr>
          <w:p>
            <w:pPr>
              <w:spacing w:after="0" w:line="196" w:lineRule="exact"/>
              <w:rPr>
                <w:sz w:val="20"/>
                <w:szCs w:val="20"/>
                <w:color w:val="auto"/>
              </w:rPr>
            </w:pPr>
            <w:r>
              <w:rPr>
                <w:rFonts w:ascii="Times New Roman" w:cs="Times New Roman" w:eastAsia="Times New Roman" w:hAnsi="Times New Roman"/>
                <w:sz w:val="18"/>
                <w:szCs w:val="18"/>
                <w:color w:val="0563C1"/>
                <w:w w:val="99"/>
              </w:rPr>
              <w:t>Condensed Consolidated Financial Statements (Unaudited)</w:t>
            </w:r>
          </w:p>
        </w:tc>
        <w:tc>
          <w:tcPr>
            <w:tcW w:w="5060" w:type="dxa"/>
            <w:vAlign w:val="bottom"/>
            <w:gridSpan w:val="8"/>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632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563C1"/>
              </w:rPr>
              <w:t>Condensed Consolidated Balance Sheets as of March 31, 2025 and December 31, 2024</w:t>
            </w:r>
          </w:p>
        </w:tc>
        <w:tc>
          <w:tcPr>
            <w:tcW w:w="3000" w:type="dxa"/>
            <w:vAlign w:val="bottom"/>
            <w:gridSpan w:val="5"/>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3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563C1"/>
              </w:rPr>
              <w:t>Condensed Consolidated Statements of Operations and Comprehensive Loss for the three months ended March 31, 2025 and</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60" w:type="dxa"/>
            <w:vAlign w:val="bottom"/>
            <w:tcBorders>
              <w:top w:val="single" w:sz="8" w:color="0563C1"/>
              <w:bottom w:val="single" w:sz="8" w:color="0563C1"/>
            </w:tcBorders>
          </w:tcPr>
          <w:p>
            <w:pPr>
              <w:spacing w:after="0" w:line="196" w:lineRule="exact"/>
              <w:rPr>
                <w:sz w:val="20"/>
                <w:szCs w:val="20"/>
                <w:color w:val="auto"/>
              </w:rPr>
            </w:pPr>
            <w:r>
              <w:rPr>
                <w:rFonts w:ascii="Times New Roman" w:cs="Times New Roman" w:eastAsia="Times New Roman" w:hAnsi="Times New Roman"/>
                <w:sz w:val="18"/>
                <w:szCs w:val="18"/>
                <w:color w:val="0563C1"/>
                <w:w w:val="94"/>
              </w:rPr>
              <w:t>2024</w:t>
            </w:r>
          </w:p>
        </w:tc>
        <w:tc>
          <w:tcPr>
            <w:tcW w:w="240" w:type="dxa"/>
            <w:vAlign w:val="bottom"/>
            <w:tcBorders>
              <w:top w:val="single" w:sz="8" w:color="0563C1"/>
            </w:tcBorders>
          </w:tcPr>
          <w:p>
            <w:pPr>
              <w:spacing w:after="0"/>
              <w:rPr>
                <w:sz w:val="17"/>
                <w:szCs w:val="17"/>
                <w:color w:val="auto"/>
              </w:rPr>
            </w:pPr>
          </w:p>
        </w:tc>
        <w:tc>
          <w:tcPr>
            <w:tcW w:w="160" w:type="dxa"/>
            <w:vAlign w:val="bottom"/>
            <w:tcBorders>
              <w:top w:val="single" w:sz="8" w:color="0563C1"/>
            </w:tcBorders>
          </w:tcPr>
          <w:p>
            <w:pPr>
              <w:spacing w:after="0"/>
              <w:rPr>
                <w:sz w:val="17"/>
                <w:szCs w:val="17"/>
                <w:color w:val="auto"/>
              </w:rPr>
            </w:pPr>
          </w:p>
        </w:tc>
        <w:tc>
          <w:tcPr>
            <w:tcW w:w="140" w:type="dxa"/>
            <w:vAlign w:val="bottom"/>
            <w:tcBorders>
              <w:top w:val="single" w:sz="8" w:color="0563C1"/>
            </w:tcBorders>
          </w:tcPr>
          <w:p>
            <w:pPr>
              <w:spacing w:after="0"/>
              <w:rPr>
                <w:sz w:val="17"/>
                <w:szCs w:val="17"/>
                <w:color w:val="auto"/>
              </w:rPr>
            </w:pPr>
          </w:p>
        </w:tc>
        <w:tc>
          <w:tcPr>
            <w:tcW w:w="420" w:type="dxa"/>
            <w:vAlign w:val="bottom"/>
            <w:tcBorders>
              <w:top w:val="single" w:sz="8" w:color="0563C1"/>
            </w:tcBorders>
          </w:tcPr>
          <w:p>
            <w:pPr>
              <w:spacing w:after="0"/>
              <w:rPr>
                <w:sz w:val="17"/>
                <w:szCs w:val="17"/>
                <w:color w:val="auto"/>
              </w:rPr>
            </w:pPr>
          </w:p>
        </w:tc>
        <w:tc>
          <w:tcPr>
            <w:tcW w:w="20" w:type="dxa"/>
            <w:vAlign w:val="bottom"/>
            <w:tcBorders>
              <w:top w:val="single" w:sz="8" w:color="0563C1"/>
            </w:tcBorders>
          </w:tcPr>
          <w:p>
            <w:pPr>
              <w:spacing w:after="0"/>
              <w:rPr>
                <w:sz w:val="17"/>
                <w:szCs w:val="17"/>
                <w:color w:val="auto"/>
              </w:rPr>
            </w:pPr>
          </w:p>
        </w:tc>
        <w:tc>
          <w:tcPr>
            <w:tcW w:w="440" w:type="dxa"/>
            <w:vAlign w:val="bottom"/>
            <w:tcBorders>
              <w:top w:val="single" w:sz="8" w:color="0563C1"/>
            </w:tcBorders>
          </w:tcPr>
          <w:p>
            <w:pPr>
              <w:spacing w:after="0"/>
              <w:rPr>
                <w:sz w:val="17"/>
                <w:szCs w:val="17"/>
                <w:color w:val="auto"/>
              </w:rPr>
            </w:pPr>
          </w:p>
        </w:tc>
        <w:tc>
          <w:tcPr>
            <w:tcW w:w="20" w:type="dxa"/>
            <w:vAlign w:val="bottom"/>
            <w:tcBorders>
              <w:top w:val="single" w:sz="8" w:color="0563C1"/>
            </w:tcBorders>
          </w:tcPr>
          <w:p>
            <w:pPr>
              <w:spacing w:after="0"/>
              <w:rPr>
                <w:sz w:val="17"/>
                <w:szCs w:val="17"/>
                <w:color w:val="auto"/>
              </w:rPr>
            </w:pPr>
          </w:p>
        </w:tc>
        <w:tc>
          <w:tcPr>
            <w:tcW w:w="100" w:type="dxa"/>
            <w:vAlign w:val="bottom"/>
            <w:tcBorders>
              <w:top w:val="single" w:sz="8" w:color="0563C1"/>
            </w:tcBorders>
          </w:tcPr>
          <w:p>
            <w:pPr>
              <w:spacing w:after="0"/>
              <w:rPr>
                <w:sz w:val="17"/>
                <w:szCs w:val="17"/>
                <w:color w:val="auto"/>
              </w:rPr>
            </w:pPr>
          </w:p>
        </w:tc>
        <w:tc>
          <w:tcPr>
            <w:tcW w:w="380" w:type="dxa"/>
            <w:vAlign w:val="bottom"/>
            <w:tcBorders>
              <w:top w:val="single" w:sz="8" w:color="0563C1"/>
            </w:tcBorders>
          </w:tcPr>
          <w:p>
            <w:pPr>
              <w:spacing w:after="0"/>
              <w:rPr>
                <w:sz w:val="17"/>
                <w:szCs w:val="17"/>
                <w:color w:val="auto"/>
              </w:rPr>
            </w:pPr>
          </w:p>
        </w:tc>
        <w:tc>
          <w:tcPr>
            <w:tcW w:w="40" w:type="dxa"/>
            <w:vAlign w:val="bottom"/>
            <w:tcBorders>
              <w:top w:val="single" w:sz="8" w:color="0563C1"/>
            </w:tcBorders>
          </w:tcPr>
          <w:p>
            <w:pPr>
              <w:spacing w:after="0"/>
              <w:rPr>
                <w:sz w:val="17"/>
                <w:szCs w:val="17"/>
                <w:color w:val="auto"/>
              </w:rPr>
            </w:pPr>
          </w:p>
        </w:tc>
        <w:tc>
          <w:tcPr>
            <w:tcW w:w="1680" w:type="dxa"/>
            <w:vAlign w:val="bottom"/>
            <w:tcBorders>
              <w:top w:val="single" w:sz="8" w:color="0563C1"/>
            </w:tcBorders>
          </w:tcPr>
          <w:p>
            <w:pPr>
              <w:spacing w:after="0"/>
              <w:rPr>
                <w:sz w:val="17"/>
                <w:szCs w:val="17"/>
                <w:color w:val="auto"/>
              </w:rPr>
            </w:pPr>
          </w:p>
        </w:tc>
        <w:tc>
          <w:tcPr>
            <w:tcW w:w="260" w:type="dxa"/>
            <w:vAlign w:val="bottom"/>
            <w:tcBorders>
              <w:top w:val="single" w:sz="8" w:color="0563C1"/>
            </w:tcBorders>
          </w:tcPr>
          <w:p>
            <w:pPr>
              <w:spacing w:after="0"/>
              <w:rPr>
                <w:sz w:val="17"/>
                <w:szCs w:val="17"/>
                <w:color w:val="auto"/>
              </w:rPr>
            </w:pPr>
          </w:p>
        </w:tc>
        <w:tc>
          <w:tcPr>
            <w:tcW w:w="80" w:type="dxa"/>
            <w:vAlign w:val="bottom"/>
            <w:tcBorders>
              <w:top w:val="single" w:sz="8" w:color="0563C1"/>
            </w:tcBorders>
          </w:tcPr>
          <w:p>
            <w:pPr>
              <w:spacing w:after="0"/>
              <w:rPr>
                <w:sz w:val="17"/>
                <w:szCs w:val="17"/>
                <w:color w:val="auto"/>
              </w:rPr>
            </w:pPr>
          </w:p>
        </w:tc>
        <w:tc>
          <w:tcPr>
            <w:tcW w:w="20" w:type="dxa"/>
            <w:vAlign w:val="bottom"/>
            <w:tcBorders>
              <w:top w:val="single" w:sz="8" w:color="0563C1"/>
            </w:tcBorders>
          </w:tcPr>
          <w:p>
            <w:pPr>
              <w:spacing w:after="0"/>
              <w:rPr>
                <w:sz w:val="17"/>
                <w:szCs w:val="17"/>
                <w:color w:val="auto"/>
              </w:rPr>
            </w:pPr>
          </w:p>
        </w:tc>
        <w:tc>
          <w:tcPr>
            <w:tcW w:w="1960" w:type="dxa"/>
            <w:vAlign w:val="bottom"/>
            <w:tcBorders>
              <w:top w:val="single" w:sz="8" w:color="0563C1"/>
            </w:tcBorders>
          </w:tcPr>
          <w:p>
            <w:pPr>
              <w:spacing w:after="0"/>
              <w:rPr>
                <w:sz w:val="17"/>
                <w:szCs w:val="17"/>
                <w:color w:val="auto"/>
              </w:rPr>
            </w:pPr>
          </w:p>
        </w:tc>
        <w:tc>
          <w:tcPr>
            <w:tcW w:w="140" w:type="dxa"/>
            <w:vAlign w:val="bottom"/>
            <w:tcBorders>
              <w:top w:val="single" w:sz="8" w:color="0563C1"/>
            </w:tcBorders>
          </w:tcPr>
          <w:p>
            <w:pPr>
              <w:spacing w:after="0"/>
              <w:rPr>
                <w:sz w:val="17"/>
                <w:szCs w:val="17"/>
                <w:color w:val="auto"/>
              </w:rPr>
            </w:pPr>
          </w:p>
        </w:tc>
        <w:tc>
          <w:tcPr>
            <w:tcW w:w="1120" w:type="dxa"/>
            <w:vAlign w:val="bottom"/>
            <w:tcBorders>
              <w:top w:val="single" w:sz="8" w:color="0563C1"/>
            </w:tcBorders>
          </w:tcPr>
          <w:p>
            <w:pPr>
              <w:spacing w:after="0"/>
              <w:rPr>
                <w:sz w:val="17"/>
                <w:szCs w:val="17"/>
                <w:color w:val="auto"/>
              </w:rPr>
            </w:pPr>
          </w:p>
        </w:tc>
        <w:tc>
          <w:tcPr>
            <w:tcW w:w="1460" w:type="dxa"/>
            <w:vAlign w:val="bottom"/>
            <w:tcBorders>
              <w:top w:val="single" w:sz="8" w:color="0563C1"/>
            </w:tcBorders>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080" w:type="dxa"/>
            <w:vAlign w:val="bottom"/>
            <w:tcBorders>
              <w:bottom w:val="single" w:sz="8" w:color="0563C1"/>
            </w:tcBorders>
            <w:gridSpan w:val="20"/>
          </w:tcPr>
          <w:p>
            <w:pPr>
              <w:spacing w:after="0" w:line="196" w:lineRule="exact"/>
              <w:rPr>
                <w:sz w:val="20"/>
                <w:szCs w:val="20"/>
                <w:color w:val="auto"/>
              </w:rPr>
            </w:pPr>
            <w:r>
              <w:rPr>
                <w:rFonts w:ascii="Times New Roman" w:cs="Times New Roman" w:eastAsia="Times New Roman" w:hAnsi="Times New Roman"/>
                <w:sz w:val="18"/>
                <w:szCs w:val="18"/>
                <w:color w:val="0563C1"/>
              </w:rPr>
              <w:t>Condensed Consolidated Statements of Common Stock and Stockholders’ Equity for the three months ended March 31, 2025</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3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563C1"/>
              </w:rPr>
              <w:t>and 2024</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3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563C1"/>
              </w:rPr>
              <w:t>Condensed Consolidated Statements of Cash Flows for the three months ended March 31, 2025 and 2024</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000" w:type="dxa"/>
            <w:vAlign w:val="bottom"/>
            <w:tcBorders>
              <w:top w:val="single" w:sz="8" w:color="0563C1"/>
              <w:bottom w:val="single" w:sz="8" w:color="0563C1"/>
            </w:tcBorders>
            <w:gridSpan w:val="12"/>
          </w:tcPr>
          <w:p>
            <w:pPr>
              <w:spacing w:after="0" w:line="196" w:lineRule="exact"/>
              <w:rPr>
                <w:sz w:val="20"/>
                <w:szCs w:val="20"/>
                <w:color w:val="auto"/>
              </w:rPr>
            </w:pPr>
            <w:r>
              <w:rPr>
                <w:rFonts w:ascii="Times New Roman" w:cs="Times New Roman" w:eastAsia="Times New Roman" w:hAnsi="Times New Roman"/>
                <w:sz w:val="18"/>
                <w:szCs w:val="18"/>
                <w:color w:val="0563C1"/>
                <w:w w:val="99"/>
              </w:rPr>
              <w:t>Notes to Condensed Consolidated Financial Statements</w:t>
            </w:r>
          </w:p>
        </w:tc>
        <w:tc>
          <w:tcPr>
            <w:tcW w:w="3580" w:type="dxa"/>
            <w:vAlign w:val="bottom"/>
            <w:tcBorders>
              <w:top w:val="single" w:sz="8" w:color="0563C1"/>
            </w:tcBorders>
            <w:gridSpan w:val="6"/>
          </w:tcPr>
          <w:p>
            <w:pPr>
              <w:spacing w:after="0"/>
              <w:rPr>
                <w:sz w:val="17"/>
                <w:szCs w:val="17"/>
                <w:color w:val="auto"/>
              </w:rPr>
            </w:pPr>
          </w:p>
        </w:tc>
        <w:tc>
          <w:tcPr>
            <w:tcW w:w="1740" w:type="dxa"/>
            <w:vAlign w:val="bottom"/>
            <w:gridSpan w:val="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563C1"/>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563C1"/>
              <w:bottom w:val="single" w:sz="8" w:color="0563C1"/>
            </w:tcBorders>
            <w:gridSpan w:val="15"/>
          </w:tcPr>
          <w:p>
            <w:pPr>
              <w:spacing w:after="0" w:line="196" w:lineRule="exact"/>
              <w:rPr>
                <w:sz w:val="20"/>
                <w:szCs w:val="20"/>
                <w:color w:val="auto"/>
              </w:rPr>
            </w:pPr>
            <w:r>
              <w:rPr>
                <w:rFonts w:ascii="Times New Roman" w:cs="Times New Roman" w:eastAsia="Times New Roman" w:hAnsi="Times New Roman"/>
                <w:sz w:val="18"/>
                <w:szCs w:val="18"/>
                <w:color w:val="0563C1"/>
                <w:w w:val="99"/>
              </w:rPr>
              <w:t>Quantitative and Qualitative Disclosures About Market Risk</w:t>
            </w:r>
          </w:p>
        </w:tc>
        <w:tc>
          <w:tcPr>
            <w:tcW w:w="2100" w:type="dxa"/>
            <w:vAlign w:val="bottom"/>
            <w:tcBorders>
              <w:top w:val="single" w:sz="8" w:color="0563C1"/>
            </w:tcBorders>
            <w:gridSpan w:val="2"/>
          </w:tcPr>
          <w:p>
            <w:pPr>
              <w:spacing w:after="0"/>
              <w:rPr>
                <w:sz w:val="17"/>
                <w:szCs w:val="17"/>
                <w:color w:val="auto"/>
              </w:rPr>
            </w:pPr>
          </w:p>
        </w:tc>
        <w:tc>
          <w:tcPr>
            <w:tcW w:w="2860" w:type="dxa"/>
            <w:vAlign w:val="bottom"/>
            <w:gridSpan w:val="4"/>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563C1"/>
            </w:tcBorders>
            <w:gridSpan w:val="7"/>
          </w:tcPr>
          <w:p>
            <w:pPr>
              <w:spacing w:after="0" w:line="196" w:lineRule="exact"/>
              <w:rPr>
                <w:sz w:val="20"/>
                <w:szCs w:val="20"/>
                <w:color w:val="auto"/>
              </w:rPr>
            </w:pPr>
            <w:r>
              <w:rPr>
                <w:rFonts w:ascii="Times New Roman" w:cs="Times New Roman" w:eastAsia="Times New Roman" w:hAnsi="Times New Roman"/>
                <w:sz w:val="18"/>
                <w:szCs w:val="18"/>
                <w:color w:val="0563C1"/>
                <w:w w:val="99"/>
              </w:rPr>
              <w:t>Controls and Procedures</w:t>
            </w:r>
          </w:p>
        </w:tc>
        <w:tc>
          <w:tcPr>
            <w:tcW w:w="20" w:type="dxa"/>
            <w:vAlign w:val="bottom"/>
            <w:tcBorders>
              <w:bottom w:val="single" w:sz="8" w:color="0000EE"/>
            </w:tcBorders>
          </w:tcPr>
          <w:p>
            <w:pPr>
              <w:spacing w:after="0"/>
              <w:rPr>
                <w:sz w:val="17"/>
                <w:szCs w:val="17"/>
                <w:color w:val="auto"/>
              </w:rPr>
            </w:pPr>
          </w:p>
        </w:tc>
        <w:tc>
          <w:tcPr>
            <w:tcW w:w="7520" w:type="dxa"/>
            <w:vAlign w:val="bottom"/>
            <w:gridSpan w:val="1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320" w:type="dxa"/>
            <w:vAlign w:val="bottom"/>
            <w:gridSpan w:val="21"/>
          </w:tcPr>
          <w:p>
            <w:pPr>
              <w:spacing w:after="0"/>
              <w:rPr>
                <w:sz w:val="20"/>
                <w:szCs w:val="20"/>
                <w:color w:val="auto"/>
              </w:rPr>
            </w:pPr>
            <w:r>
              <w:rPr>
                <w:rFonts w:ascii="Times New Roman" w:cs="Times New Roman" w:eastAsia="Times New Roman" w:hAnsi="Times New Roman"/>
                <w:sz w:val="18"/>
                <w:szCs w:val="18"/>
                <w:color w:val="0563C1"/>
              </w:rPr>
              <w:t>OTHER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563C1"/>
              <w:bottom w:val="single" w:sz="8" w:color="0563C1"/>
            </w:tcBorders>
            <w:gridSpan w:val="6"/>
          </w:tcPr>
          <w:p>
            <w:pPr>
              <w:spacing w:after="0" w:line="196" w:lineRule="exact"/>
              <w:rPr>
                <w:sz w:val="20"/>
                <w:szCs w:val="20"/>
                <w:color w:val="auto"/>
              </w:rPr>
            </w:pPr>
            <w:r>
              <w:rPr>
                <w:rFonts w:ascii="Times New Roman" w:cs="Times New Roman" w:eastAsia="Times New Roman" w:hAnsi="Times New Roman"/>
                <w:sz w:val="18"/>
                <w:szCs w:val="18"/>
                <w:color w:val="0563C1"/>
                <w:w w:val="98"/>
              </w:rPr>
              <w:t>Legal Proceedings</w:t>
            </w:r>
          </w:p>
        </w:tc>
        <w:tc>
          <w:tcPr>
            <w:tcW w:w="560" w:type="dxa"/>
            <w:vAlign w:val="bottom"/>
            <w:tcBorders>
              <w:top w:val="single" w:sz="8" w:color="0563C1"/>
            </w:tcBorders>
            <w:gridSpan w:val="3"/>
          </w:tcPr>
          <w:p>
            <w:pPr>
              <w:spacing w:after="0"/>
              <w:rPr>
                <w:sz w:val="17"/>
                <w:szCs w:val="17"/>
                <w:color w:val="auto"/>
              </w:rPr>
            </w:pPr>
          </w:p>
        </w:tc>
        <w:tc>
          <w:tcPr>
            <w:tcW w:w="7420" w:type="dxa"/>
            <w:vAlign w:val="bottom"/>
            <w:gridSpan w:val="1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3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563C1"/>
              </w:rPr>
              <w:t>Risk Factors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8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563C1"/>
              </w:rPr>
              <w:t>Unregistered Sales of Equity Securities and Use of Proceeds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563C1"/>
            </w:tcBorders>
            <w:gridSpan w:val="14"/>
          </w:tcPr>
          <w:p>
            <w:pPr>
              <w:spacing w:after="0" w:line="196" w:lineRule="exact"/>
              <w:rPr>
                <w:sz w:val="20"/>
                <w:szCs w:val="20"/>
                <w:color w:val="auto"/>
              </w:rPr>
            </w:pPr>
            <w:r>
              <w:rPr>
                <w:rFonts w:ascii="Times New Roman" w:cs="Times New Roman" w:eastAsia="Times New Roman" w:hAnsi="Times New Roman"/>
                <w:sz w:val="18"/>
                <w:szCs w:val="18"/>
                <w:color w:val="0563C1"/>
              </w:rPr>
              <w:t>Defaults Upon Senior Securities</w:t>
            </w:r>
          </w:p>
        </w:tc>
        <w:tc>
          <w:tcPr>
            <w:tcW w:w="4980" w:type="dxa"/>
            <w:vAlign w:val="bottom"/>
            <w:gridSpan w:val="7"/>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563C1"/>
              <w:bottom w:val="single" w:sz="8" w:color="0563C1"/>
            </w:tcBorders>
            <w:gridSpan w:val="7"/>
          </w:tcPr>
          <w:p>
            <w:pPr>
              <w:spacing w:after="0" w:line="196" w:lineRule="exact"/>
              <w:rPr>
                <w:sz w:val="20"/>
                <w:szCs w:val="20"/>
                <w:color w:val="auto"/>
              </w:rPr>
            </w:pPr>
            <w:r>
              <w:rPr>
                <w:rFonts w:ascii="Times New Roman" w:cs="Times New Roman" w:eastAsia="Times New Roman" w:hAnsi="Times New Roman"/>
                <w:sz w:val="18"/>
                <w:szCs w:val="18"/>
                <w:color w:val="0563C1"/>
                <w:w w:val="99"/>
              </w:rPr>
              <w:t>Mine Safety Disclosures</w:t>
            </w:r>
          </w:p>
        </w:tc>
        <w:tc>
          <w:tcPr>
            <w:tcW w:w="540" w:type="dxa"/>
            <w:vAlign w:val="bottom"/>
            <w:tcBorders>
              <w:top w:val="single" w:sz="8" w:color="0563C1"/>
            </w:tcBorders>
            <w:gridSpan w:val="4"/>
          </w:tcPr>
          <w:p>
            <w:pPr>
              <w:spacing w:after="0"/>
              <w:rPr>
                <w:sz w:val="17"/>
                <w:szCs w:val="17"/>
                <w:color w:val="auto"/>
              </w:rPr>
            </w:pPr>
          </w:p>
        </w:tc>
        <w:tc>
          <w:tcPr>
            <w:tcW w:w="7000" w:type="dxa"/>
            <w:vAlign w:val="bottom"/>
            <w:gridSpan w:val="10"/>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563C1"/>
            </w:tcBorders>
            <w:gridSpan w:val="5"/>
          </w:tcPr>
          <w:p>
            <w:pPr>
              <w:spacing w:after="0" w:line="196" w:lineRule="exact"/>
              <w:rPr>
                <w:sz w:val="20"/>
                <w:szCs w:val="20"/>
                <w:color w:val="auto"/>
              </w:rPr>
            </w:pPr>
            <w:r>
              <w:rPr>
                <w:rFonts w:ascii="Times New Roman" w:cs="Times New Roman" w:eastAsia="Times New Roman" w:hAnsi="Times New Roman"/>
                <w:sz w:val="18"/>
                <w:szCs w:val="18"/>
                <w:color w:val="0563C1"/>
                <w:w w:val="98"/>
              </w:rPr>
              <w:t>Other Information</w:t>
            </w:r>
          </w:p>
        </w:tc>
        <w:tc>
          <w:tcPr>
            <w:tcW w:w="8000" w:type="dxa"/>
            <w:vAlign w:val="bottom"/>
            <w:gridSpan w:val="16"/>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3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563C1"/>
              </w:rPr>
              <w:t>Exhibits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563C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560" w:type="dxa"/>
            <w:vAlign w:val="bottom"/>
            <w:gridSpan w:val="1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3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563C1"/>
              </w:rPr>
              <w:t>Signatures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SENSEI BIOTHERAPEUTICS,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2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5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9,877</w:t>
            </w:r>
          </w:p>
        </w:tc>
        <w:tc>
          <w:tcPr>
            <w:tcW w:w="18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9,994</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31,341</w:t>
            </w: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w:t>
            </w:r>
          </w:p>
        </w:tc>
        <w:tc>
          <w:tcPr>
            <w:tcW w:w="3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8"/>
                <w:szCs w:val="18"/>
                <w:color w:val="auto"/>
              </w:rPr>
            </w:pPr>
          </w:p>
        </w:tc>
      </w:tr>
      <w:tr>
        <w:trPr>
          <w:trHeight w:val="209"/>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35,682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41,929</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Right of use assets - operating leases, net</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w:t>
            </w: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 of use assets - financing leases, net</w:t>
            </w:r>
          </w:p>
        </w:tc>
        <w:tc>
          <w:tcPr>
            <w:tcW w:w="3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Pr>
          <w:p>
            <w:pPr>
              <w:spacing w:after="0"/>
              <w:rPr>
                <w:sz w:val="18"/>
                <w:szCs w:val="18"/>
                <w:color w:val="auto"/>
              </w:rPr>
            </w:pPr>
          </w:p>
        </w:tc>
      </w:tr>
      <w:tr>
        <w:trPr>
          <w:trHeight w:val="216"/>
        </w:trPr>
        <w:tc>
          <w:tcPr>
            <w:tcW w:w="7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3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38,273</w:t>
            </w:r>
          </w:p>
        </w:tc>
        <w:tc>
          <w:tcPr>
            <w:tcW w:w="180" w:type="dxa"/>
            <w:vAlign w:val="bottom"/>
          </w:tcPr>
          <w:p>
            <w:pPr>
              <w:spacing w:after="0"/>
              <w:rPr>
                <w:sz w:val="18"/>
                <w:szCs w:val="18"/>
                <w:color w:val="auto"/>
              </w:rPr>
            </w:pPr>
          </w:p>
        </w:tc>
        <w:tc>
          <w:tcPr>
            <w:tcW w:w="3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45,361</w:t>
            </w:r>
          </w:p>
        </w:tc>
        <w:tc>
          <w:tcPr>
            <w:tcW w:w="100" w:type="dxa"/>
            <w:vAlign w:val="bottom"/>
          </w:tcPr>
          <w:p>
            <w:pPr>
              <w:spacing w:after="0"/>
              <w:rPr>
                <w:sz w:val="18"/>
                <w:szCs w:val="18"/>
                <w:color w:val="auto"/>
              </w:rPr>
            </w:pPr>
          </w:p>
        </w:tc>
      </w:tr>
      <w:tr>
        <w:trPr>
          <w:trHeight w:val="20"/>
        </w:trPr>
        <w:tc>
          <w:tcPr>
            <w:tcW w:w="7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5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2,358</w:t>
            </w:r>
          </w:p>
        </w:tc>
        <w:tc>
          <w:tcPr>
            <w:tcW w:w="18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Compensation and employee benefits liabilities</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3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Financing lease liabilities, current</w:t>
            </w: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tcBorders>
              <w:bottom w:val="single" w:sz="8" w:color="CFF0FC"/>
            </w:tcBorders>
          </w:tcPr>
          <w:p>
            <w:pPr>
              <w:spacing w:after="0"/>
              <w:rPr>
                <w:sz w:val="18"/>
                <w:szCs w:val="18"/>
                <w:color w:val="auto"/>
              </w:rPr>
            </w:pPr>
          </w:p>
        </w:tc>
      </w:tr>
      <w:tr>
        <w:trPr>
          <w:trHeight w:val="209"/>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5,448</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Financing lease liabilities, non-current</w:t>
            </w:r>
          </w:p>
        </w:tc>
        <w:tc>
          <w:tcPr>
            <w:tcW w:w="3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FF0FC"/>
          </w:tcPr>
          <w:p>
            <w:pPr>
              <w:spacing w:after="0"/>
              <w:rPr>
                <w:sz w:val="18"/>
                <w:szCs w:val="18"/>
                <w:color w:val="auto"/>
              </w:rPr>
            </w:pPr>
          </w:p>
        </w:tc>
      </w:tr>
      <w:tr>
        <w:trPr>
          <w:trHeight w:val="210"/>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6,975</w:t>
            </w:r>
          </w:p>
        </w:tc>
        <w:tc>
          <w:tcPr>
            <w:tcW w:w="100" w:type="dxa"/>
            <w:vAlign w:val="bottom"/>
          </w:tcPr>
          <w:p>
            <w:pPr>
              <w:spacing w:after="0"/>
              <w:rPr>
                <w:sz w:val="18"/>
                <w:szCs w:val="18"/>
                <w:color w:val="auto"/>
              </w:rPr>
            </w:pPr>
          </w:p>
        </w:tc>
      </w:tr>
      <w:tr>
        <w:trPr>
          <w:trHeight w:val="20"/>
        </w:trPr>
        <w:tc>
          <w:tcPr>
            <w:tcW w:w="7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5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Commitments and contingencies (Note 6)</w:t>
            </w:r>
          </w:p>
        </w:tc>
        <w:tc>
          <w:tcPr>
            <w:tcW w:w="3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5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and 10,000,000 shares authorized as of March 31, 2025 and</w:t>
            </w:r>
          </w:p>
        </w:tc>
        <w:tc>
          <w:tcPr>
            <w:tcW w:w="3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2024; zero shares issued and outstanding at March 31, 2025 and December 31, 2024,</w:t>
            </w:r>
          </w:p>
        </w:tc>
        <w:tc>
          <w:tcPr>
            <w:tcW w:w="3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respectively</w:t>
            </w:r>
          </w:p>
        </w:tc>
        <w:tc>
          <w:tcPr>
            <w:tcW w:w="30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and 250,000,000 shares authorized as of March 31, 2025 and</w:t>
            </w: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2024; 25,208,068 and 25,180,583 shares issued and outstanding at March 31, 2025 and</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2024, respectively</w:t>
            </w:r>
          </w:p>
        </w:tc>
        <w:tc>
          <w:tcPr>
            <w:tcW w:w="3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r>
      <w:tr>
        <w:trPr>
          <w:trHeight w:val="216"/>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300,906</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300,448</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(268,916)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(262,052)</w:t>
            </w:r>
          </w:p>
        </w:tc>
      </w:tr>
      <w:tr>
        <w:trPr>
          <w:trHeight w:val="216"/>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r>
      <w:tr>
        <w:trPr>
          <w:trHeight w:val="210"/>
        </w:trPr>
        <w:tc>
          <w:tcPr>
            <w:tcW w:w="75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31,987</w:t>
            </w: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38,386</w:t>
            </w:r>
          </w:p>
        </w:tc>
        <w:tc>
          <w:tcPr>
            <w:tcW w:w="100" w:type="dxa"/>
            <w:vAlign w:val="bottom"/>
            <w:tcBorders>
              <w:top w:val="single" w:sz="8" w:color="CFF0FC"/>
            </w:tcBorders>
          </w:tcPr>
          <w:p>
            <w:pPr>
              <w:spacing w:after="0"/>
              <w:rPr>
                <w:sz w:val="18"/>
                <w:szCs w:val="18"/>
                <w:color w:val="auto"/>
              </w:rPr>
            </w:pPr>
          </w:p>
        </w:tc>
      </w:tr>
      <w:tr>
        <w:trPr>
          <w:trHeight w:val="229"/>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38,273</w:t>
            </w:r>
          </w:p>
        </w:tc>
        <w:tc>
          <w:tcPr>
            <w:tcW w:w="18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45,361</w:t>
            </w:r>
          </w:p>
        </w:tc>
        <w:tc>
          <w:tcPr>
            <w:tcW w:w="100" w:type="dxa"/>
            <w:vAlign w:val="bottom"/>
            <w:shd w:val="clear" w:color="auto" w:fill="CFF0FC"/>
          </w:tcPr>
          <w:p>
            <w:pPr>
              <w:spacing w:after="0"/>
              <w:rPr>
                <w:sz w:val="19"/>
                <w:szCs w:val="19"/>
                <w:color w:val="auto"/>
              </w:rPr>
            </w:pPr>
          </w:p>
        </w:tc>
      </w:tr>
      <w:tr>
        <w:trPr>
          <w:trHeight w:val="20"/>
        </w:trPr>
        <w:tc>
          <w:tcPr>
            <w:tcW w:w="75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-3411220</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-3411220</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-2416810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-2416810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-316865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-25400</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-8255</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3"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SENSEI BIOTHERAPEUTICS,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7" w:lineRule="exact"/>
        <w:rPr>
          <w:sz w:val="20"/>
          <w:szCs w:val="20"/>
          <w:color w:val="auto"/>
        </w:rPr>
      </w:pPr>
    </w:p>
    <w:p>
      <w:pPr>
        <w:jc w:val="center"/>
        <w:ind w:left="746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jc w:val="center"/>
        <w:ind w:left="7460"/>
        <w:spacing w:after="0"/>
        <w:rPr>
          <w:sz w:val="20"/>
          <w:szCs w:val="20"/>
          <w:color w:val="auto"/>
        </w:rPr>
      </w:pPr>
      <w:r>
        <w:rPr>
          <w:rFonts w:ascii="Times New Roman" w:cs="Times New Roman" w:eastAsia="Times New Roman" w:hAnsi="Times New Roman"/>
          <w:sz w:val="14"/>
          <w:szCs w:val="14"/>
          <w:b w:val="1"/>
          <w:bCs w:val="1"/>
          <w:color w:val="auto"/>
        </w:rPr>
        <w:t>Ended March 31,</w:t>
      </w:r>
    </w:p>
    <w:tbl>
      <w:tblPr>
        <w:tblLayout w:type="fixed"/>
        <w:tblInd w:w="0" w:type="dxa"/>
        <w:tblCellMar>
          <w:top w:w="0" w:type="dxa"/>
          <w:left w:w="0" w:type="dxa"/>
          <w:bottom w:w="0" w:type="dxa"/>
          <w:right w:w="0" w:type="dxa"/>
        </w:tblCellMar>
      </w:tblPr>
      <w:tr>
        <w:trPr>
          <w:trHeight w:val="142"/>
        </w:trPr>
        <w:tc>
          <w:tcPr>
            <w:tcW w:w="760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5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6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3,725</w:t>
            </w:r>
          </w:p>
        </w:tc>
        <w:tc>
          <w:tcPr>
            <w:tcW w:w="160" w:type="dxa"/>
            <w:vAlign w:val="bottom"/>
          </w:tcPr>
          <w:p>
            <w:pPr>
              <w:spacing w:after="0"/>
              <w:rPr>
                <w:sz w:val="18"/>
                <w:szCs w:val="18"/>
                <w:color w:val="auto"/>
              </w:rPr>
            </w:pP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4,917</w:t>
            </w:r>
          </w:p>
        </w:tc>
        <w:tc>
          <w:tcPr>
            <w:tcW w:w="100" w:type="dxa"/>
            <w:vAlign w:val="bottom"/>
          </w:tcPr>
          <w:p>
            <w:pPr>
              <w:spacing w:after="0"/>
              <w:rPr>
                <w:sz w:val="18"/>
                <w:szCs w:val="18"/>
                <w:color w:val="auto"/>
              </w:rPr>
            </w:pPr>
          </w:p>
        </w:tc>
      </w:tr>
      <w:tr>
        <w:trPr>
          <w:trHeight w:val="216"/>
        </w:trPr>
        <w:tc>
          <w:tcPr>
            <w:tcW w:w="7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3,813</w:t>
            </w:r>
          </w:p>
        </w:tc>
        <w:tc>
          <w:tcPr>
            <w:tcW w:w="100" w:type="dxa"/>
            <w:vAlign w:val="bottom"/>
            <w:shd w:val="clear" w:color="auto" w:fill="CFF0FC"/>
          </w:tcPr>
          <w:p>
            <w:pPr>
              <w:spacing w:after="0"/>
              <w:rPr>
                <w:sz w:val="18"/>
                <w:szCs w:val="18"/>
                <w:color w:val="auto"/>
              </w:rPr>
            </w:pPr>
          </w:p>
        </w:tc>
      </w:tr>
      <w:tr>
        <w:trPr>
          <w:trHeight w:val="209"/>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8,730</w:t>
            </w:r>
          </w:p>
        </w:tc>
        <w:tc>
          <w:tcPr>
            <w:tcW w:w="100" w:type="dxa"/>
            <w:vAlign w:val="bottom"/>
          </w:tcPr>
          <w:p>
            <w:pPr>
              <w:spacing w:after="0"/>
              <w:rPr>
                <w:sz w:val="18"/>
                <w:szCs w:val="18"/>
                <w:color w:val="auto"/>
              </w:rPr>
            </w:pPr>
          </w:p>
        </w:tc>
      </w:tr>
      <w:tr>
        <w:trPr>
          <w:trHeight w:val="210"/>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(7,274)</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(8,730)</w:t>
            </w: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7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Gain on asset disposal</w:t>
            </w: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expense, net</w:t>
            </w:r>
          </w:p>
        </w:tc>
        <w:tc>
          <w:tcPr>
            <w:tcW w:w="3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76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(6,864)</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(7,992)</w:t>
            </w:r>
          </w:p>
        </w:tc>
      </w:tr>
      <w:tr>
        <w:trPr>
          <w:trHeight w:val="20"/>
        </w:trPr>
        <w:tc>
          <w:tcPr>
            <w:tcW w:w="76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(0.27)</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(0.32)</w:t>
            </w:r>
          </w:p>
        </w:tc>
      </w:tr>
      <w:tr>
        <w:trPr>
          <w:trHeight w:val="20"/>
        </w:trPr>
        <w:tc>
          <w:tcPr>
            <w:tcW w:w="76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60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Weighted-average number of shares used in computing net loss per common share, basic and diluted</w:t>
            </w:r>
          </w:p>
        </w:tc>
        <w:tc>
          <w:tcPr>
            <w:tcW w:w="36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25,192,363</w:t>
            </w:r>
          </w:p>
        </w:tc>
        <w:tc>
          <w:tcPr>
            <w:tcW w:w="1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25,049,111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97"/>
        </w:trPr>
        <w:tc>
          <w:tcPr>
            <w:tcW w:w="76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Comprehensive loss:</w:t>
            </w: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(6,864)</w:t>
            </w:r>
          </w:p>
        </w:tc>
        <w:tc>
          <w:tcPr>
            <w:tcW w:w="5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(7,992)</w:t>
            </w: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items: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Unrealized gain on marketable securities</w:t>
            </w:r>
          </w:p>
        </w:tc>
        <w:tc>
          <w:tcPr>
            <w:tcW w:w="3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other comprehensive income</w:t>
            </w: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8"/>
                <w:szCs w:val="18"/>
                <w:color w:val="auto"/>
              </w:rPr>
            </w:pPr>
          </w:p>
        </w:tc>
      </w:tr>
      <w:tr>
        <w:trPr>
          <w:trHeight w:val="229"/>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(6,857)</w:t>
            </w:r>
          </w:p>
        </w:tc>
        <w:tc>
          <w:tcPr>
            <w:tcW w:w="5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(7,920)</w:t>
            </w:r>
          </w:p>
        </w:tc>
      </w:tr>
      <w:tr>
        <w:trPr>
          <w:trHeight w:val="20"/>
        </w:trPr>
        <w:tc>
          <w:tcPr>
            <w:tcW w:w="76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5829935</wp:posOffset>
            </wp:positionH>
            <wp:positionV relativeFrom="paragraph">
              <wp:posOffset>-2334895</wp:posOffset>
            </wp:positionV>
            <wp:extent cx="93980" cy="1797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-2334895</wp:posOffset>
            </wp:positionV>
            <wp:extent cx="93980" cy="1797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-1199515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-1199515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-890905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-873760</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-890905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-873760</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-316865</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-25400</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-8255</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ind w:left="4220"/>
        <w:spacing w:after="0"/>
        <w:rPr>
          <w:sz w:val="20"/>
          <w:szCs w:val="20"/>
          <w:color w:val="auto"/>
        </w:rPr>
      </w:pPr>
      <w:r>
        <w:rPr>
          <w:rFonts w:ascii="Times New Roman" w:cs="Times New Roman" w:eastAsia="Times New Roman" w:hAnsi="Times New Roman"/>
          <w:sz w:val="17"/>
          <w:szCs w:val="17"/>
          <w:b w:val="1"/>
          <w:bCs w:val="1"/>
          <w:color w:val="auto"/>
        </w:rPr>
        <w:t>SENSEI BIOTHERAPEUTICS, INC.</w:t>
      </w:r>
    </w:p>
    <w:p>
      <w:pPr>
        <w:spacing w:after="0" w:line="3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COMMON STOCK AND STOCKHOLDERS’ EQUITY</w:t>
      </w:r>
    </w:p>
    <w:p>
      <w:pPr>
        <w:spacing w:after="0" w:line="2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7"/>
          <w:szCs w:val="17"/>
          <w:b w:val="1"/>
          <w:bCs w:val="1"/>
          <w:color w:val="auto"/>
        </w:rPr>
        <w:t>Unaudited)</w:t>
      </w:r>
    </w:p>
    <w:p>
      <w:pPr>
        <w:spacing w:after="0" w:line="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(In thousands, except share data)</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820" w:type="dxa"/>
            <w:vAlign w:val="bottom"/>
          </w:tcPr>
          <w:p>
            <w:pPr>
              <w:spacing w:after="0"/>
              <w:rPr>
                <w:sz w:val="13"/>
                <w:szCs w:val="13"/>
                <w:color w:val="auto"/>
              </w:rPr>
            </w:pPr>
          </w:p>
        </w:tc>
        <w:tc>
          <w:tcPr>
            <w:tcW w:w="14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Additional Paid-In</w:t>
            </w:r>
          </w:p>
        </w:tc>
        <w:tc>
          <w:tcPr>
            <w:tcW w:w="120" w:type="dxa"/>
            <w:vAlign w:val="bottom"/>
          </w:tcPr>
          <w:p>
            <w:pPr>
              <w:spacing w:after="0"/>
              <w:rPr>
                <w:sz w:val="13"/>
                <w:szCs w:val="13"/>
                <w:color w:val="auto"/>
              </w:rPr>
            </w:pP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3"/>
                <w:szCs w:val="13"/>
                <w:color w:val="auto"/>
              </w:rPr>
            </w:pPr>
          </w:p>
        </w:tc>
        <w:tc>
          <w:tcPr>
            <w:tcW w:w="136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Accumulated Other</w:t>
            </w:r>
          </w:p>
        </w:tc>
        <w:tc>
          <w:tcPr>
            <w:tcW w:w="100" w:type="dxa"/>
            <w:vAlign w:val="bottom"/>
          </w:tcPr>
          <w:p>
            <w:pPr>
              <w:spacing w:after="0"/>
              <w:rPr>
                <w:sz w:val="13"/>
                <w:szCs w:val="13"/>
                <w:color w:val="auto"/>
              </w:rPr>
            </w:pPr>
          </w:p>
        </w:tc>
        <w:tc>
          <w:tcPr>
            <w:tcW w:w="130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Total Stockholders’</w:t>
            </w:r>
          </w:p>
        </w:tc>
        <w:tc>
          <w:tcPr>
            <w:tcW w:w="0" w:type="dxa"/>
            <w:vAlign w:val="bottom"/>
          </w:tcPr>
          <w:p>
            <w:pPr>
              <w:spacing w:after="0"/>
              <w:rPr>
                <w:sz w:val="1"/>
                <w:szCs w:val="1"/>
                <w:color w:val="auto"/>
              </w:rPr>
            </w:pPr>
          </w:p>
        </w:tc>
      </w:tr>
      <w:tr>
        <w:trPr>
          <w:trHeight w:val="125"/>
        </w:trPr>
        <w:tc>
          <w:tcPr>
            <w:tcW w:w="38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3"/>
                <w:szCs w:val="13"/>
                <w:b w:val="1"/>
                <w:bCs w:val="1"/>
                <w:color w:val="auto"/>
              </w:rPr>
              <w:t>Amoun</w:t>
            </w: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3820" w:type="dxa"/>
            <w:vAlign w:val="bottom"/>
          </w:tcPr>
          <w:p>
            <w:pPr>
              <w:spacing w:after="0"/>
              <w:rPr>
                <w:sz w:val="15"/>
                <w:szCs w:val="15"/>
                <w:color w:val="auto"/>
              </w:rPr>
            </w:pPr>
          </w:p>
        </w:tc>
        <w:tc>
          <w:tcPr>
            <w:tcW w:w="1420" w:type="dxa"/>
            <w:vAlign w:val="bottom"/>
            <w:gridSpan w:val="2"/>
          </w:tcPr>
          <w:p>
            <w:pPr>
              <w:jc w:val="right"/>
              <w:ind w:right="6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5"/>
                <w:szCs w:val="15"/>
                <w:color w:val="auto"/>
              </w:rPr>
            </w:pP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rPr>
              <w:t>t</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00" w:type="dxa"/>
            <w:vAlign w:val="bottom"/>
          </w:tcPr>
          <w:p>
            <w:pPr>
              <w:spacing w:after="0"/>
              <w:rPr>
                <w:sz w:val="15"/>
                <w:szCs w:val="15"/>
                <w:color w:val="auto"/>
              </w:rPr>
            </w:pPr>
          </w:p>
        </w:tc>
        <w:tc>
          <w:tcPr>
            <w:tcW w:w="136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Comprehensive Loss</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35"/>
        </w:trPr>
        <w:tc>
          <w:tcPr>
            <w:tcW w:w="3820" w:type="dxa"/>
            <w:vAlign w:val="bottom"/>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8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Balance at December 31, 2023</w:t>
            </w:r>
          </w:p>
        </w:tc>
        <w:tc>
          <w:tcPr>
            <w:tcW w:w="11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25,030,188</w:t>
            </w:r>
          </w:p>
        </w:tc>
        <w:tc>
          <w:tcPr>
            <w:tcW w:w="26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w:t>
            </w:r>
          </w:p>
        </w:tc>
        <w:tc>
          <w:tcPr>
            <w:tcW w:w="480" w:type="dxa"/>
            <w:vAlign w:val="bottom"/>
            <w:gridSpan w:val="2"/>
            <w:shd w:val="clear" w:color="auto" w:fill="CFF0FC"/>
          </w:tcPr>
          <w:p>
            <w:pPr>
              <w:jc w:val="right"/>
              <w:ind w:right="98"/>
              <w:spacing w:after="0" w:line="142"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296,996</w:t>
            </w:r>
          </w:p>
        </w:tc>
        <w:tc>
          <w:tcPr>
            <w:tcW w:w="140" w:type="dxa"/>
            <w:vAlign w:val="bottom"/>
            <w:shd w:val="clear" w:color="auto" w:fill="CFF0FC"/>
          </w:tcPr>
          <w:p>
            <w:pPr>
              <w:spacing w:after="0"/>
              <w:rPr>
                <w:sz w:val="12"/>
                <w:szCs w:val="12"/>
                <w:color w:val="auto"/>
              </w:rPr>
            </w:pPr>
          </w:p>
        </w:tc>
        <w:tc>
          <w:tcPr>
            <w:tcW w:w="260" w:type="dxa"/>
            <w:vAlign w:val="bottom"/>
            <w:gridSpan w:val="2"/>
            <w:shd w:val="clear" w:color="auto" w:fill="CFF0FC"/>
          </w:tcPr>
          <w:p>
            <w:pPr>
              <w:jc w:val="right"/>
              <w:ind w:right="18"/>
              <w:spacing w:after="0" w:line="14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3"/>
                <w:szCs w:val="13"/>
                <w:color w:val="auto"/>
              </w:rPr>
              <w:t>(231,895)</w:t>
            </w:r>
          </w:p>
        </w:tc>
        <w:tc>
          <w:tcPr>
            <w:tcW w:w="620" w:type="dxa"/>
            <w:vAlign w:val="bottom"/>
            <w:gridSpan w:val="2"/>
            <w:shd w:val="clear" w:color="auto" w:fill="CFF0FC"/>
          </w:tcPr>
          <w:p>
            <w:pPr>
              <w:jc w:val="right"/>
              <w:ind w:right="396"/>
              <w:spacing w:after="0" w:line="14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3"/>
                <w:szCs w:val="13"/>
                <w:color w:val="auto"/>
              </w:rPr>
              <w:t>(209)</w:t>
            </w:r>
          </w:p>
        </w:tc>
        <w:tc>
          <w:tcPr>
            <w:tcW w:w="320" w:type="dxa"/>
            <w:vAlign w:val="bottom"/>
            <w:gridSpan w:val="2"/>
            <w:shd w:val="clear" w:color="auto" w:fill="CFF0FC"/>
          </w:tcPr>
          <w:p>
            <w:pPr>
              <w:jc w:val="right"/>
              <w:ind w:right="98"/>
              <w:spacing w:after="0" w:line="142"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64,895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20" w:type="dxa"/>
            <w:vAlign w:val="bottom"/>
            <w:tcBorders>
              <w:top w:val="single" w:sz="8" w:color="CFF0FC"/>
            </w:tcBorders>
          </w:tcPr>
          <w:p>
            <w:pPr>
              <w:ind w:left="80"/>
              <w:spacing w:after="0" w:line="142"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11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top w:val="single" w:sz="8" w:color="CFF0FC"/>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1,216</w:t>
            </w:r>
          </w:p>
        </w:tc>
        <w:tc>
          <w:tcPr>
            <w:tcW w:w="14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1,216</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Issuance of equity in exchange for compensation</w:t>
            </w:r>
          </w:p>
        </w:tc>
        <w:tc>
          <w:tcPr>
            <w:tcW w:w="142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293</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Surrender of shares for tax withholding</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(12,361)</w:t>
            </w:r>
          </w:p>
        </w:tc>
        <w:tc>
          <w:tcPr>
            <w:tcW w:w="1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48"/>
        </w:trPr>
        <w:tc>
          <w:tcPr>
            <w:tcW w:w="3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Vesting of restricted stock shares</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56,131</w:t>
            </w:r>
          </w:p>
        </w:tc>
        <w:tc>
          <w:tcPr>
            <w:tcW w:w="26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38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Surrender of shares for tax withholding</w:t>
            </w: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3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Unrealized gain on marketable securities</w:t>
            </w:r>
          </w:p>
        </w:tc>
        <w:tc>
          <w:tcPr>
            <w:tcW w:w="142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Net loss</w:t>
            </w: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(7,992)</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(7,992)</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8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Balance at March 31, 2024</w:t>
            </w:r>
          </w:p>
        </w:tc>
        <w:tc>
          <w:tcPr>
            <w:tcW w:w="11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25,073,958</w:t>
            </w:r>
          </w:p>
        </w:tc>
        <w:tc>
          <w:tcPr>
            <w:tcW w:w="26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w:t>
            </w:r>
          </w:p>
        </w:tc>
        <w:tc>
          <w:tcPr>
            <w:tcW w:w="480" w:type="dxa"/>
            <w:vAlign w:val="bottom"/>
            <w:gridSpan w:val="2"/>
            <w:shd w:val="clear" w:color="auto" w:fill="CFF0FC"/>
          </w:tcPr>
          <w:p>
            <w:pPr>
              <w:jc w:val="right"/>
              <w:ind w:right="98"/>
              <w:spacing w:after="0" w:line="142"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298,495</w:t>
            </w:r>
          </w:p>
        </w:tc>
        <w:tc>
          <w:tcPr>
            <w:tcW w:w="140" w:type="dxa"/>
            <w:vAlign w:val="bottom"/>
            <w:shd w:val="clear" w:color="auto" w:fill="CFF0FC"/>
          </w:tcPr>
          <w:p>
            <w:pPr>
              <w:spacing w:after="0"/>
              <w:rPr>
                <w:sz w:val="12"/>
                <w:szCs w:val="12"/>
                <w:color w:val="auto"/>
              </w:rPr>
            </w:pPr>
          </w:p>
        </w:tc>
        <w:tc>
          <w:tcPr>
            <w:tcW w:w="260" w:type="dxa"/>
            <w:vAlign w:val="bottom"/>
            <w:gridSpan w:val="2"/>
            <w:shd w:val="clear" w:color="auto" w:fill="CFF0FC"/>
          </w:tcPr>
          <w:p>
            <w:pPr>
              <w:jc w:val="right"/>
              <w:ind w:right="18"/>
              <w:spacing w:after="0" w:line="14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3"/>
                <w:szCs w:val="13"/>
                <w:color w:val="auto"/>
              </w:rPr>
              <w:t>(239,887)</w:t>
            </w:r>
          </w:p>
        </w:tc>
        <w:tc>
          <w:tcPr>
            <w:tcW w:w="620" w:type="dxa"/>
            <w:vAlign w:val="bottom"/>
            <w:gridSpan w:val="2"/>
            <w:shd w:val="clear" w:color="auto" w:fill="CFF0FC"/>
          </w:tcPr>
          <w:p>
            <w:pPr>
              <w:jc w:val="right"/>
              <w:ind w:right="396"/>
              <w:spacing w:after="0" w:line="14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3"/>
                <w:szCs w:val="13"/>
                <w:color w:val="auto"/>
              </w:rPr>
              <w:t>(137)</w:t>
            </w:r>
          </w:p>
        </w:tc>
        <w:tc>
          <w:tcPr>
            <w:tcW w:w="320" w:type="dxa"/>
            <w:vAlign w:val="bottom"/>
            <w:gridSpan w:val="2"/>
            <w:shd w:val="clear" w:color="auto" w:fill="CFF0FC"/>
          </w:tcPr>
          <w:p>
            <w:pPr>
              <w:jc w:val="right"/>
              <w:ind w:right="98"/>
              <w:spacing w:after="0" w:line="142"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58,474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2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3"/>
                <w:szCs w:val="13"/>
                <w:b w:val="1"/>
                <w:bCs w:val="1"/>
                <w:color w:val="auto"/>
              </w:rPr>
              <w:t>Balance at December 31, 2024</w:t>
            </w:r>
          </w:p>
        </w:tc>
        <w:tc>
          <w:tcPr>
            <w:tcW w:w="116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CFF0FC"/>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CFF0FC"/>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20" w:type="dxa"/>
            <w:vAlign w:val="bottom"/>
            <w:vMerge w:val="continue"/>
          </w:tcPr>
          <w:p>
            <w:pPr>
              <w:spacing w:after="0"/>
              <w:rPr>
                <w:sz w:val="12"/>
                <w:szCs w:val="12"/>
                <w:color w:val="auto"/>
              </w:rPr>
            </w:pPr>
          </w:p>
        </w:tc>
        <w:tc>
          <w:tcPr>
            <w:tcW w:w="11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25,180,583</w:t>
            </w:r>
          </w:p>
        </w:tc>
        <w:tc>
          <w:tcPr>
            <w:tcW w:w="260" w:type="dxa"/>
            <w:vAlign w:val="bottom"/>
          </w:tcPr>
          <w:p>
            <w:pPr>
              <w:spacing w:after="0"/>
              <w:rPr>
                <w:sz w:val="12"/>
                <w:szCs w:val="12"/>
                <w:color w:val="auto"/>
              </w:rPr>
            </w:pPr>
          </w:p>
        </w:tc>
        <w:tc>
          <w:tcPr>
            <w:tcW w:w="1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3</w:t>
            </w:r>
          </w:p>
        </w:tc>
        <w:tc>
          <w:tcPr>
            <w:tcW w:w="260" w:type="dxa"/>
            <w:vAlign w:val="bottom"/>
          </w:tcPr>
          <w:p>
            <w:pPr>
              <w:spacing w:after="0"/>
              <w:rPr>
                <w:sz w:val="12"/>
                <w:szCs w:val="12"/>
                <w:color w:val="auto"/>
              </w:rPr>
            </w:pPr>
          </w:p>
        </w:tc>
        <w:tc>
          <w:tcPr>
            <w:tcW w:w="22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300,448</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(262,052)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38,386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820" w:type="dxa"/>
            <w:vAlign w:val="bottom"/>
            <w:shd w:val="clear" w:color="auto" w:fill="CFF0FC"/>
          </w:tcPr>
          <w:p>
            <w:pPr>
              <w:ind w:left="80"/>
              <w:spacing w:after="0" w:line="129"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1420" w:type="dxa"/>
            <w:vAlign w:val="bottom"/>
            <w:tcBorders>
              <w:right w:val="single" w:sz="8" w:color="CFF0FC"/>
            </w:tcBorders>
            <w:gridSpan w:val="2"/>
            <w:shd w:val="clear" w:color="auto" w:fill="CFF0FC"/>
          </w:tcPr>
          <w:p>
            <w:pPr>
              <w:jc w:val="right"/>
              <w:ind w:right="2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3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461</w:t>
            </w: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1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1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461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Surrender of shares for tax withholding</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(7,834)</w:t>
            </w:r>
          </w:p>
        </w:tc>
        <w:tc>
          <w:tcPr>
            <w:tcW w:w="1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49"/>
        </w:trPr>
        <w:tc>
          <w:tcPr>
            <w:tcW w:w="3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Vesting of restricted stock shares</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35,319</w:t>
            </w:r>
          </w:p>
        </w:tc>
        <w:tc>
          <w:tcPr>
            <w:tcW w:w="26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38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Unrealized gain on marketable securities</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Net loss</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(6,864)</w:t>
            </w: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(6,864)</w:t>
            </w:r>
          </w:p>
        </w:tc>
        <w:tc>
          <w:tcPr>
            <w:tcW w:w="0" w:type="dxa"/>
            <w:vAlign w:val="bottom"/>
          </w:tcPr>
          <w:p>
            <w:pPr>
              <w:spacing w:after="0"/>
              <w:rPr>
                <w:sz w:val="1"/>
                <w:szCs w:val="1"/>
                <w:color w:val="auto"/>
              </w:rPr>
            </w:pPr>
          </w:p>
        </w:tc>
      </w:tr>
      <w:tr>
        <w:trPr>
          <w:trHeight w:val="20"/>
        </w:trPr>
        <w:tc>
          <w:tcPr>
            <w:tcW w:w="382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82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Balance at March 31, 2025</w:t>
            </w:r>
          </w:p>
        </w:tc>
        <w:tc>
          <w:tcPr>
            <w:tcW w:w="11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25,208,068</w:t>
            </w:r>
          </w:p>
        </w:tc>
        <w:tc>
          <w:tcPr>
            <w:tcW w:w="260" w:type="dxa"/>
            <w:vAlign w:val="bottom"/>
          </w:tcPr>
          <w:p>
            <w:pPr>
              <w:spacing w:after="0"/>
              <w:rPr>
                <w:sz w:val="12"/>
                <w:szCs w:val="12"/>
                <w:color w:val="auto"/>
              </w:rPr>
            </w:pPr>
          </w:p>
        </w:tc>
        <w:tc>
          <w:tcPr>
            <w:tcW w:w="120" w:type="dxa"/>
            <w:vAlign w:val="bottom"/>
          </w:tcPr>
          <w:p>
            <w:pPr>
              <w:jc w:val="right"/>
              <w:ind w:right="2"/>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w:t>
            </w:r>
          </w:p>
        </w:tc>
        <w:tc>
          <w:tcPr>
            <w:tcW w:w="480" w:type="dxa"/>
            <w:vAlign w:val="bottom"/>
            <w:gridSpan w:val="2"/>
          </w:tcPr>
          <w:p>
            <w:pPr>
              <w:jc w:val="right"/>
              <w:ind w:right="98"/>
              <w:spacing w:after="0" w:line="142"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300,906</w:t>
            </w:r>
          </w:p>
        </w:tc>
        <w:tc>
          <w:tcPr>
            <w:tcW w:w="140" w:type="dxa"/>
            <w:vAlign w:val="bottom"/>
          </w:tcPr>
          <w:p>
            <w:pPr>
              <w:spacing w:after="0"/>
              <w:rPr>
                <w:sz w:val="12"/>
                <w:szCs w:val="12"/>
                <w:color w:val="auto"/>
              </w:rPr>
            </w:pPr>
          </w:p>
        </w:tc>
        <w:tc>
          <w:tcPr>
            <w:tcW w:w="260" w:type="dxa"/>
            <w:vAlign w:val="bottom"/>
            <w:gridSpan w:val="2"/>
          </w:tcPr>
          <w:p>
            <w:pPr>
              <w:jc w:val="right"/>
              <w:ind w:right="18"/>
              <w:spacing w:after="0" w:line="14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3"/>
                <w:szCs w:val="13"/>
                <w:color w:val="auto"/>
              </w:rPr>
              <w:t>(268,916)</w:t>
            </w:r>
          </w:p>
        </w:tc>
        <w:tc>
          <w:tcPr>
            <w:tcW w:w="620" w:type="dxa"/>
            <w:vAlign w:val="bottom"/>
            <w:gridSpan w:val="2"/>
          </w:tcPr>
          <w:p>
            <w:pPr>
              <w:jc w:val="right"/>
              <w:ind w:right="396"/>
              <w:spacing w:after="0" w:line="14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3"/>
                <w:szCs w:val="13"/>
                <w:color w:val="auto"/>
              </w:rPr>
              <w:t>(6)</w:t>
            </w:r>
          </w:p>
        </w:tc>
        <w:tc>
          <w:tcPr>
            <w:tcW w:w="320" w:type="dxa"/>
            <w:vAlign w:val="bottom"/>
            <w:gridSpan w:val="2"/>
          </w:tcPr>
          <w:p>
            <w:pPr>
              <w:jc w:val="right"/>
              <w:ind w:right="98"/>
              <w:spacing w:after="0" w:line="142"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31,987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-1602105</wp:posOffset>
            </wp:positionV>
            <wp:extent cx="774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-1602105</wp:posOffset>
            </wp:positionV>
            <wp:extent cx="768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-1602105</wp:posOffset>
            </wp:positionV>
            <wp:extent cx="77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-1602105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-1602105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-1602105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-830580</wp:posOffset>
            </wp:positionV>
            <wp:extent cx="77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-830580</wp:posOffset>
            </wp:positionV>
            <wp:extent cx="768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-830580</wp:posOffset>
            </wp:positionV>
            <wp:extent cx="77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-830580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-830580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-830580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-128270</wp:posOffset>
            </wp:positionV>
            <wp:extent cx="77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-128270</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-128270</wp:posOffset>
            </wp:positionV>
            <wp:extent cx="774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-128270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-128270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SENSEI BIOTHERAPEUTICS,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(In thousands)</w:t>
      </w:r>
    </w:p>
    <w:tbl>
      <w:tblPr>
        <w:tblLayout w:type="fixed"/>
        <w:tblInd w:w="0" w:type="dxa"/>
        <w:tblCellMar>
          <w:top w:w="0" w:type="dxa"/>
          <w:left w:w="0" w:type="dxa"/>
          <w:bottom w:w="0" w:type="dxa"/>
          <w:right w:w="0" w:type="dxa"/>
        </w:tblCellMar>
      </w:tblPr>
      <w:tr>
        <w:trPr>
          <w:trHeight w:val="158"/>
        </w:trPr>
        <w:tc>
          <w:tcPr>
            <w:tcW w:w="8140" w:type="dxa"/>
            <w:vAlign w:val="bottom"/>
          </w:tcPr>
          <w:p>
            <w:pPr>
              <w:spacing w:after="0"/>
              <w:rPr>
                <w:sz w:val="13"/>
                <w:szCs w:val="13"/>
                <w:color w:val="auto"/>
              </w:rPr>
            </w:pPr>
          </w:p>
        </w:tc>
        <w:tc>
          <w:tcPr>
            <w:tcW w:w="3100" w:type="dxa"/>
            <w:vAlign w:val="bottom"/>
            <w:tcBorders>
              <w:bottom w:val="single" w:sz="8" w:color="auto"/>
            </w:tcBorders>
            <w:gridSpan w:val="5"/>
          </w:tcPr>
          <w:p>
            <w:pPr>
              <w:jc w:val="right"/>
              <w:ind w:right="299"/>
              <w:spacing w:after="0" w:line="157" w:lineRule="exact"/>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142"/>
        </w:trPr>
        <w:tc>
          <w:tcPr>
            <w:tcW w:w="814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61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8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7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r>
      <w:tr>
        <w:trPr>
          <w:trHeight w:val="203"/>
        </w:trPr>
        <w:tc>
          <w:tcPr>
            <w:tcW w:w="814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760" w:type="dxa"/>
            <w:vAlign w:val="bottom"/>
          </w:tcPr>
          <w:p>
            <w:pPr>
              <w:jc w:val="right"/>
              <w:ind w:right="602"/>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(6,864)</w:t>
            </w: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(7,992)</w:t>
            </w:r>
          </w:p>
        </w:tc>
      </w:tr>
      <w:tr>
        <w:trPr>
          <w:trHeight w:val="203"/>
        </w:trPr>
        <w:tc>
          <w:tcPr>
            <w:tcW w:w="8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7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r>
      <w:tr>
        <w:trPr>
          <w:trHeight w:val="203"/>
        </w:trPr>
        <w:tc>
          <w:tcPr>
            <w:tcW w:w="81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760" w:type="dxa"/>
            <w:vAlign w:val="bottom"/>
          </w:tcPr>
          <w:p>
            <w:pPr>
              <w:spacing w:after="0"/>
              <w:rPr>
                <w:sz w:val="17"/>
                <w:szCs w:val="17"/>
                <w:color w:val="auto"/>
              </w:rPr>
            </w:pP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461</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1,216</w:t>
            </w:r>
          </w:p>
        </w:tc>
      </w:tr>
      <w:tr>
        <w:trPr>
          <w:trHeight w:val="203"/>
        </w:trPr>
        <w:tc>
          <w:tcPr>
            <w:tcW w:w="81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76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30</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137</w:t>
            </w:r>
          </w:p>
        </w:tc>
      </w:tr>
      <w:tr>
        <w:trPr>
          <w:trHeight w:val="203"/>
        </w:trPr>
        <w:tc>
          <w:tcPr>
            <w:tcW w:w="81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Accretion on marketable securities</w:t>
            </w:r>
          </w:p>
        </w:tc>
        <w:tc>
          <w:tcPr>
            <w:tcW w:w="7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r>
      <w:tr>
        <w:trPr>
          <w:trHeight w:val="203"/>
        </w:trPr>
        <w:tc>
          <w:tcPr>
            <w:tcW w:w="81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Non-cash lease expense</w:t>
            </w:r>
          </w:p>
        </w:tc>
        <w:tc>
          <w:tcPr>
            <w:tcW w:w="76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411</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370</w:t>
            </w:r>
          </w:p>
        </w:tc>
      </w:tr>
      <w:tr>
        <w:trPr>
          <w:trHeight w:val="203"/>
        </w:trPr>
        <w:tc>
          <w:tcPr>
            <w:tcW w:w="81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Amortization of financing lease right-of-use assets</w:t>
            </w:r>
          </w:p>
        </w:tc>
        <w:tc>
          <w:tcPr>
            <w:tcW w:w="760" w:type="dxa"/>
            <w:vAlign w:val="bottom"/>
          </w:tcPr>
          <w:p>
            <w:pPr>
              <w:spacing w:after="0"/>
              <w:rPr>
                <w:sz w:val="17"/>
                <w:szCs w:val="17"/>
                <w:color w:val="auto"/>
              </w:rPr>
            </w:pP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194</w:t>
            </w:r>
          </w:p>
        </w:tc>
      </w:tr>
      <w:tr>
        <w:trPr>
          <w:trHeight w:val="202"/>
        </w:trPr>
        <w:tc>
          <w:tcPr>
            <w:tcW w:w="81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Gain on asset disposal</w:t>
            </w:r>
          </w:p>
        </w:tc>
        <w:tc>
          <w:tcPr>
            <w:tcW w:w="76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1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81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Prepaid expenses</w:t>
            </w:r>
          </w:p>
        </w:tc>
        <w:tc>
          <w:tcPr>
            <w:tcW w:w="76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(716)</w:t>
            </w:r>
          </w:p>
        </w:tc>
      </w:tr>
      <w:tr>
        <w:trPr>
          <w:trHeight w:val="203"/>
        </w:trPr>
        <w:tc>
          <w:tcPr>
            <w:tcW w:w="81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Other assets</w:t>
            </w:r>
          </w:p>
        </w:tc>
        <w:tc>
          <w:tcPr>
            <w:tcW w:w="760" w:type="dxa"/>
            <w:vAlign w:val="bottom"/>
          </w:tcPr>
          <w:p>
            <w:pPr>
              <w:spacing w:after="0"/>
              <w:rPr>
                <w:sz w:val="17"/>
                <w:szCs w:val="17"/>
                <w:color w:val="auto"/>
              </w:rPr>
            </w:pP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57</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56</w:t>
            </w:r>
          </w:p>
        </w:tc>
      </w:tr>
      <w:tr>
        <w:trPr>
          <w:trHeight w:val="203"/>
        </w:trPr>
        <w:tc>
          <w:tcPr>
            <w:tcW w:w="81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76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1,109</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306</w:t>
            </w:r>
          </w:p>
        </w:tc>
      </w:tr>
      <w:tr>
        <w:trPr>
          <w:trHeight w:val="203"/>
        </w:trPr>
        <w:tc>
          <w:tcPr>
            <w:tcW w:w="81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Compensation and employee benefits</w:t>
            </w:r>
          </w:p>
        </w:tc>
        <w:tc>
          <w:tcPr>
            <w:tcW w:w="7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(1,163)</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w:t>
            </w:r>
          </w:p>
        </w:tc>
      </w:tr>
      <w:tr>
        <w:trPr>
          <w:trHeight w:val="203"/>
        </w:trPr>
        <w:tc>
          <w:tcPr>
            <w:tcW w:w="81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76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(371)</w:t>
            </w:r>
          </w:p>
        </w:tc>
      </w:tr>
      <w:tr>
        <w:trPr>
          <w:trHeight w:val="203"/>
        </w:trPr>
        <w:tc>
          <w:tcPr>
            <w:tcW w:w="81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Other liabilities</w:t>
            </w:r>
          </w:p>
        </w:tc>
        <w:tc>
          <w:tcPr>
            <w:tcW w:w="7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w:t>
            </w:r>
          </w:p>
        </w:tc>
      </w:tr>
      <w:tr>
        <w:trPr>
          <w:trHeight w:val="196"/>
        </w:trPr>
        <w:tc>
          <w:tcPr>
            <w:tcW w:w="8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76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(7,094)</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(7,616)</w:t>
            </w:r>
          </w:p>
        </w:tc>
      </w:tr>
      <w:tr>
        <w:trPr>
          <w:trHeight w:val="203"/>
        </w:trPr>
        <w:tc>
          <w:tcPr>
            <w:tcW w:w="8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81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76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02"/>
        </w:trPr>
        <w:tc>
          <w:tcPr>
            <w:tcW w:w="81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Purchases of short-term investments</w:t>
            </w:r>
          </w:p>
        </w:tc>
        <w:tc>
          <w:tcPr>
            <w:tcW w:w="7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(6,349)</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(6,259)</w:t>
            </w:r>
          </w:p>
        </w:tc>
      </w:tr>
      <w:tr>
        <w:trPr>
          <w:trHeight w:val="203"/>
        </w:trPr>
        <w:tc>
          <w:tcPr>
            <w:tcW w:w="81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Maturities of short-term investments</w:t>
            </w:r>
          </w:p>
        </w:tc>
        <w:tc>
          <w:tcPr>
            <w:tcW w:w="76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13,500</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12,066</w:t>
            </w:r>
          </w:p>
        </w:tc>
      </w:tr>
      <w:tr>
        <w:trPr>
          <w:trHeight w:val="203"/>
        </w:trPr>
        <w:tc>
          <w:tcPr>
            <w:tcW w:w="8140" w:type="dxa"/>
            <w:vAlign w:val="bottom"/>
            <w:tcBorders>
              <w:bottom w:val="single" w:sz="8" w:color="CFF0FC"/>
            </w:tcBorders>
          </w:tcPr>
          <w:p>
            <w:pPr>
              <w:ind w:left="160"/>
              <w:spacing w:after="0"/>
              <w:rPr>
                <w:sz w:val="20"/>
                <w:szCs w:val="20"/>
                <w:color w:val="auto"/>
              </w:rPr>
            </w:pPr>
            <w:r>
              <w:rPr>
                <w:rFonts w:ascii="Times New Roman" w:cs="Times New Roman" w:eastAsia="Times New Roman" w:hAnsi="Times New Roman"/>
                <w:sz w:val="16"/>
                <w:szCs w:val="16"/>
                <w:color w:val="auto"/>
              </w:rPr>
              <w:t>Proceeds from sale of property and equipment</w:t>
            </w:r>
          </w:p>
        </w:tc>
        <w:tc>
          <w:tcPr>
            <w:tcW w:w="7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40</w:t>
            </w:r>
          </w:p>
        </w:tc>
        <w:tc>
          <w:tcPr>
            <w:tcW w:w="200" w:type="dxa"/>
            <w:vAlign w:val="bottom"/>
            <w:tcBorders>
              <w:bottom w:val="single" w:sz="8" w:color="CFF0FC"/>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8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provided by investing activities</w:t>
            </w:r>
          </w:p>
        </w:tc>
        <w:tc>
          <w:tcPr>
            <w:tcW w:w="76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7,191</w:t>
            </w:r>
          </w:p>
        </w:tc>
        <w:tc>
          <w:tcPr>
            <w:tcW w:w="2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5,770</w:t>
            </w:r>
          </w:p>
        </w:tc>
      </w:tr>
      <w:tr>
        <w:trPr>
          <w:trHeight w:val="196"/>
        </w:trPr>
        <w:tc>
          <w:tcPr>
            <w:tcW w:w="8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81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Principal payments for financing leases</w:t>
            </w:r>
          </w:p>
        </w:tc>
        <w:tc>
          <w:tcPr>
            <w:tcW w:w="76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(199)</w:t>
            </w:r>
          </w:p>
        </w:tc>
      </w:tr>
      <w:tr>
        <w:trPr>
          <w:trHeight w:val="203"/>
        </w:trPr>
        <w:tc>
          <w:tcPr>
            <w:tcW w:w="8140" w:type="dxa"/>
            <w:vAlign w:val="bottom"/>
            <w:tcBorders>
              <w:bottom w:val="single" w:sz="8" w:color="CFF0FC"/>
            </w:tcBorders>
          </w:tcPr>
          <w:p>
            <w:pPr>
              <w:ind w:left="160"/>
              <w:spacing w:after="0"/>
              <w:rPr>
                <w:sz w:val="20"/>
                <w:szCs w:val="20"/>
                <w:color w:val="auto"/>
              </w:rPr>
            </w:pPr>
            <w:r>
              <w:rPr>
                <w:rFonts w:ascii="Times New Roman" w:cs="Times New Roman" w:eastAsia="Times New Roman" w:hAnsi="Times New Roman"/>
                <w:sz w:val="16"/>
                <w:szCs w:val="16"/>
                <w:color w:val="auto"/>
              </w:rPr>
              <w:t>Payment of employee restricted stock tax withholdings</w:t>
            </w:r>
          </w:p>
        </w:tc>
        <w:tc>
          <w:tcPr>
            <w:tcW w:w="7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0" w:type="dxa"/>
            <w:vAlign w:val="bottom"/>
            <w:tcBorders>
              <w:bottom w:val="single" w:sz="8" w:color="CFF0FC"/>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196"/>
        </w:trPr>
        <w:tc>
          <w:tcPr>
            <w:tcW w:w="8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76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2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(209)</w:t>
            </w:r>
          </w:p>
        </w:tc>
      </w:tr>
      <w:tr>
        <w:trPr>
          <w:trHeight w:val="196"/>
        </w:trPr>
        <w:tc>
          <w:tcPr>
            <w:tcW w:w="8140" w:type="dxa"/>
            <w:vAlign w:val="bottom"/>
          </w:tcPr>
          <w:p>
            <w:pPr>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7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(2,055)</w:t>
            </w:r>
          </w:p>
        </w:tc>
      </w:tr>
      <w:tr>
        <w:trPr>
          <w:trHeight w:val="203"/>
        </w:trPr>
        <w:tc>
          <w:tcPr>
            <w:tcW w:w="8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76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9,994</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13,011</w:t>
            </w:r>
          </w:p>
        </w:tc>
      </w:tr>
      <w:tr>
        <w:trPr>
          <w:trHeight w:val="203"/>
        </w:trPr>
        <w:tc>
          <w:tcPr>
            <w:tcW w:w="814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760" w:type="dxa"/>
            <w:vAlign w:val="bottom"/>
          </w:tcPr>
          <w:p>
            <w:pPr>
              <w:jc w:val="right"/>
              <w:ind w:right="602"/>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9,877</w:t>
            </w: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10,956</w:t>
            </w:r>
          </w:p>
        </w:tc>
      </w:tr>
      <w:tr>
        <w:trPr>
          <w:trHeight w:val="20"/>
        </w:trPr>
        <w:tc>
          <w:tcPr>
            <w:tcW w:w="8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8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noncash financing information:</w:t>
            </w:r>
          </w:p>
        </w:tc>
        <w:tc>
          <w:tcPr>
            <w:tcW w:w="7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r>
      <w:tr>
        <w:trPr>
          <w:trHeight w:val="203"/>
        </w:trPr>
        <w:tc>
          <w:tcPr>
            <w:tcW w:w="8140" w:type="dxa"/>
            <w:vAlign w:val="bottom"/>
          </w:tcPr>
          <w:p>
            <w:pPr>
              <w:spacing w:after="0"/>
              <w:rPr>
                <w:sz w:val="20"/>
                <w:szCs w:val="20"/>
                <w:color w:val="auto"/>
              </w:rPr>
            </w:pPr>
            <w:r>
              <w:rPr>
                <w:rFonts w:ascii="Times New Roman" w:cs="Times New Roman" w:eastAsia="Times New Roman" w:hAnsi="Times New Roman"/>
                <w:sz w:val="16"/>
                <w:szCs w:val="16"/>
                <w:color w:val="auto"/>
              </w:rPr>
              <w:t>Issuance of equity in exchange for compensation included in compensation and employee benefits</w:t>
            </w:r>
          </w:p>
        </w:tc>
        <w:tc>
          <w:tcPr>
            <w:tcW w:w="760" w:type="dxa"/>
            <w:vAlign w:val="bottom"/>
          </w:tcPr>
          <w:p>
            <w:pPr>
              <w:jc w:val="right"/>
              <w:ind w:right="602"/>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293</w:t>
            </w:r>
          </w:p>
        </w:tc>
      </w:tr>
      <w:tr>
        <w:trPr>
          <w:trHeight w:val="203"/>
        </w:trPr>
        <w:tc>
          <w:tcPr>
            <w:tcW w:w="8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Asset disposals included in other assets</w:t>
            </w:r>
          </w:p>
        </w:tc>
        <w:tc>
          <w:tcPr>
            <w:tcW w:w="760" w:type="dxa"/>
            <w:vAlign w:val="bottom"/>
            <w:shd w:val="clear" w:color="auto" w:fill="CFF0FC"/>
          </w:tcPr>
          <w:p>
            <w:pPr>
              <w:jc w:val="right"/>
              <w:ind w:right="602"/>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8140" w:type="dxa"/>
            <w:vAlign w:val="bottom"/>
          </w:tcPr>
          <w:p>
            <w:pPr>
              <w:spacing w:after="0"/>
              <w:rPr>
                <w:sz w:val="20"/>
                <w:szCs w:val="20"/>
                <w:color w:val="auto"/>
              </w:rPr>
            </w:pPr>
            <w:r>
              <w:rPr>
                <w:rFonts w:ascii="Times New Roman" w:cs="Times New Roman" w:eastAsia="Times New Roman" w:hAnsi="Times New Roman"/>
                <w:sz w:val="16"/>
                <w:szCs w:val="16"/>
                <w:color w:val="auto"/>
              </w:rPr>
              <w:t>Initial measurement of finance lease right-of-use assets</w:t>
            </w:r>
          </w:p>
        </w:tc>
        <w:tc>
          <w:tcPr>
            <w:tcW w:w="760" w:type="dxa"/>
            <w:vAlign w:val="bottom"/>
          </w:tcPr>
          <w:p>
            <w:pPr>
              <w:jc w:val="right"/>
              <w:ind w:right="602"/>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6001385</wp:posOffset>
            </wp:positionH>
            <wp:positionV relativeFrom="paragraph">
              <wp:posOffset>-1619885</wp:posOffset>
            </wp:positionV>
            <wp:extent cx="154305"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54305" cy="171450"/>
                    </a:xfrm>
                    <a:prstGeom prst="rect">
                      <a:avLst/>
                    </a:prstGeom>
                    <a:noFill/>
                  </pic:spPr>
                </pic:pic>
              </a:graphicData>
            </a:graphic>
          </wp:anchor>
        </w:drawing>
        <w:drawing>
          <wp:anchor simplePos="0" relativeHeight="251657728" behindDoc="1" locked="0" layoutInCell="0" allowOverlap="1">
            <wp:simplePos x="0" y="0"/>
            <wp:positionH relativeFrom="column">
              <wp:posOffset>6001385</wp:posOffset>
            </wp:positionH>
            <wp:positionV relativeFrom="paragraph">
              <wp:posOffset>-1088390</wp:posOffset>
            </wp:positionV>
            <wp:extent cx="154305" cy="1708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54305" cy="170815"/>
                    </a:xfrm>
                    <a:prstGeom prst="rect">
                      <a:avLst/>
                    </a:prstGeom>
                    <a:noFill/>
                  </pic:spPr>
                </pic:pic>
              </a:graphicData>
            </a:graphic>
          </wp:anchor>
        </w:drawing>
      </w:r>
    </w:p>
    <w:p>
      <w:pPr>
        <w:spacing w:after="0" w:line="19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SENSEI BIOTHERAPEUTICS,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260" w:right="7900" w:hanging="252"/>
        <w:spacing w:after="0" w:line="378" w:lineRule="auto"/>
        <w:tabs>
          <w:tab w:leader="none" w:pos="187"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ORGANIZATION AND OPERATIONS </w:t>
      </w:r>
      <w:r>
        <w:rPr>
          <w:rFonts w:ascii="Times New Roman" w:cs="Times New Roman" w:eastAsia="Times New Roman" w:hAnsi="Times New Roman"/>
          <w:sz w:val="18"/>
          <w:szCs w:val="18"/>
          <w:b w:val="1"/>
          <w:bCs w:val="1"/>
          <w:i w:val="1"/>
          <w:iCs w:val="1"/>
          <w:color w:val="auto"/>
        </w:rPr>
        <w:t>Business</w:t>
      </w: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Sensei Biotherapeutics, Inc. (the “Company” or “Sensei”), a clinical-stage biotechnology company, was incorporated in 1999 as a Maryland corporation until being incorporated in Delaware on December 1, 2017. The Company is focused on the discovery and development of next-generation therapeutics for cancer patients.</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Since its inception, the Company has devoted substantially all of its resources to advancing development of its portfolio of programs, establishing and protecting its intellectual property, conducting research and development activities, organizing and staffing the Company, business planning, raising capital and providing general and administrative support for these operations. As a result, the Company has incurred substantial losses and had a net loss of $6.9 million for the three months ended March 31, 2025. As of March 31, 2025, the Company had an accumulated deficit of $268.9 million. The Company expects to generate operating losses and negative operating cash flows for the foreseeable future, and as a result the Company’s liquidity position continues to tighten with the passage of time. The Company is subject to risks and uncertainties common to early-stage companies in the biotechnology industry including, but not limited to, technical risks associated with the successful research, development and manufacturing of product candidates, development by competitors of new technological innovations, dependence on key personnel, protection of proprietary technology, compliance with government regulations and the ability to secure additional capital to fund operations. Current and future programs will require significant research and development efforts, including extensive preclinical and clinical testing and regulatory approval prior to commercialization. These efforts require significant amounts of additional capital, adequate personnel and infrastructure. Even if the Company’s drug development efforts are successful, it is uncertain when, if ever, the Company will realize significant revenue from product sales.</w:t>
      </w:r>
    </w:p>
    <w:p>
      <w:pPr>
        <w:spacing w:after="0" w:line="19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Based on the Company’s available cash, cash equivalents and marketable securities and current operating plans excluding any financing, the Company will not have sufficient cash and cash equivalents to fund its operating expenses and capital requirements beyond one year from the issuance of these condensed consolidated financial statements, and therefore, the Company has concluded that there is substantial doubt about its ability to continue as a going concern. The Company will need additional financing to support its continuing operations and pursue its current strategy. Until the Company can generate significant revenue from product sales, if ever, it expects to finance its operations through a combination of equity offerings, debt financings, collaborations, strategic alliances and licensing arrangements. The Company may be unable to raise additional funds or enter into such other agreements when needed on favorable terms or at all. The inability to raise capital as and when needed would have a negative impact on the Company’s financial condition and its ability to pursue its business strategy. The Company will need to generate significant revenue to achieve profitability, and it may never do so.</w:t>
      </w:r>
    </w:p>
    <w:p>
      <w:pPr>
        <w:spacing w:after="0" w:line="188"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These uncertainties raise substantial doubt about the Company’s ability to continue as a going concern. The accompanying condensed consolidated financial statements have been prepared on the basis that the Company will continue to operate as a going concern, which contemplates it will be able to realize assets and settle liabilities and commitments in the normal course of business for the foreseeable future. Accordingly, the accompanying condensed consolidated financial statements do not include any adjustments that may result from the outcome of these uncertainties.</w:t>
      </w:r>
    </w:p>
    <w:p>
      <w:pPr>
        <w:spacing w:after="0" w:line="284" w:lineRule="exact"/>
        <w:rPr>
          <w:sz w:val="20"/>
          <w:szCs w:val="20"/>
          <w:color w:val="auto"/>
        </w:rPr>
      </w:pPr>
    </w:p>
    <w:p>
      <w:pPr>
        <w:ind w:left="260" w:right="6320" w:hanging="252"/>
        <w:spacing w:after="0" w:line="400" w:lineRule="auto"/>
        <w:tabs>
          <w:tab w:leader="none" w:pos="187"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b w:val="1"/>
          <w:bCs w:val="1"/>
          <w:i w:val="1"/>
          <w:iCs w:val="1"/>
          <w:color w:val="auto"/>
        </w:rPr>
        <w:t>Basis of Presentation and Principles of Consolidation</w:t>
      </w: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Company has prepared the accompanying condensed consolidated financial statements in conformity with generally accepted accounting principles in the United States (“US GAAP”). The condensed consolidated financial statements include those accounts of the Company and its subsidiaries after elimination of all intercompany accounts and transactions.</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121"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of the Company included herein have been prepared pursuant to the rules and regulations of the Securities and Exchange Commission (“SEC”). The accompanying condensed consolidated financial statements reflect all adjustments, consisting of normal, recurring adjustments, that are necessary for a fair presentation of the financial position,</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7" w:name="page8"/>
    <w:bookmarkEnd w:id="7"/>
    <w:p>
      <w:pPr>
        <w:spacing w:after="0" w:line="258" w:lineRule="auto"/>
        <w:rPr>
          <w:sz w:val="20"/>
          <w:szCs w:val="20"/>
          <w:color w:val="auto"/>
        </w:rPr>
      </w:pPr>
      <w:r>
        <w:rPr>
          <w:rFonts w:ascii="Times New Roman" w:cs="Times New Roman" w:eastAsia="Times New Roman" w:hAnsi="Times New Roman"/>
          <w:sz w:val="18"/>
          <w:szCs w:val="18"/>
          <w:color w:val="auto"/>
        </w:rPr>
        <w:t>results of operations, statement of stockholders’ equity, and cash flows for the interim periods presented. Certain information and note disclosures normally included in financial statements prepared in accordance with US GAAP have been condensed or omitted from these condensed consolidated financial statements, as is permitted by such rules and regulations. Accordingly, these condensed consolidated financial statements should be read in conjunction with the financial statements and notes thereto included in the Company’s Annual Report on Form 10-K. The results for any interim period are not necessarily indicative of results for any future period.</w:t>
      </w:r>
    </w:p>
    <w:p>
      <w:pPr>
        <w:spacing w:after="0" w:line="2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US GAAP requires management to make estimates and assumptions that affect the reported amounts of assets and liabilities, disclosure of contingent assets and liabilities at the date of the condensed consolidated financial statements, and the reported amounts of expenses during the reporting periods presented. Estimates are used for, but are not limited to, stock-based compensation, accrued research and development expenses, depreciation of equipment, fair value of financial instruments, the Company’s ability to continue as a going concern and contingencies. Actual results may differ from those estimates.</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Cash equivalents are highly liquid investments with an original maturity of 90 days or less at the date of purchase and consist of time deposits and investments in money market funds with commercial banks and financial institutions. As of March 31, 2025, cash and cash equivalents included cash on deposit at commercial banks and a money market fund that invests in U.S. Government securities.</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Investments consist of marketable securities with original maturities greater than 90 days at the date of purchase. The Company has classified its investments with maturities beyond one year as short-term, based on their highly liquid nature and because such marketable securities represent the investment of cash that is available for current operations. The Company considers its investment portfolio of marketable securities to be available-for-sale. Accordingly, these investments are recorded at fair value (Level 2). Unrealized gains and losses are reported as the accumulated other comprehensive items in stockholders’ equity. Amortization and accretion of premiums and discounts are recorded in other income (expense). Realized gains or losses on debt securities are included in interest income or interest expense, respectively. If any adjustment to fair value reflects a decline in value of the investment, the Company considers all available evidence to evaluate the extent to which the decline is other than temporary and, if so, marks the investment to market on the Company’s statement of operations and comprehensive loss.</w:t>
      </w:r>
    </w:p>
    <w:p>
      <w:pPr>
        <w:spacing w:after="0" w:line="2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Property and equipment are recorded at cost and depreciated or amortized over the estimated useful lives of the assets. Repairs or maintenance costs are expensed as incurred. Depreciation is computed using the straight-line method over the following estimated useful lives:</w:t>
      </w:r>
    </w:p>
    <w:p>
      <w:pPr>
        <w:sectPr>
          <w:pgSz w:w="11900" w:h="16838" w:orient="portrait"/>
          <w:cols w:equalWidth="0" w:num="1">
            <w:col w:w="11220"/>
          </w:cols>
          <w:pgMar w:left="320" w:top="1093" w:right="359" w:bottom="1440" w:gutter="0" w:footer="0" w:header="0"/>
        </w:sectPr>
      </w:pP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equipment and furniture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equipment</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3—7 years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1—7 years</w:t>
      </w:r>
    </w:p>
    <w:p>
      <w:pPr>
        <w:spacing w:after="0" w:line="110" w:lineRule="exact"/>
        <w:rPr>
          <w:sz w:val="20"/>
          <w:szCs w:val="20"/>
          <w:color w:val="auto"/>
        </w:rPr>
      </w:pPr>
    </w:p>
    <w:p>
      <w:pPr>
        <w:sectPr>
          <w:pgSz w:w="11900" w:h="16838" w:orient="portrait"/>
          <w:cols w:equalWidth="0" w:num="2">
            <w:col w:w="4900" w:space="720"/>
            <w:col w:w="5600"/>
          </w:cols>
          <w:pgMar w:left="320" w:top="1093" w:right="359" w:bottom="1440" w:gutter="0" w:footer="0" w:header="0"/>
          <w:type w:val="continuous"/>
        </w:sectPr>
      </w:pPr>
    </w:p>
    <w:p>
      <w:pPr>
        <w:ind w:left="520"/>
        <w:spacing w:after="0"/>
        <w:rPr>
          <w:sz w:val="20"/>
          <w:szCs w:val="20"/>
          <w:color w:val="auto"/>
        </w:rPr>
      </w:pPr>
      <w:r>
        <w:rPr>
          <w:rFonts w:ascii="Times New Roman" w:cs="Times New Roman" w:eastAsia="Times New Roman" w:hAnsi="Times New Roman"/>
          <w:sz w:val="18"/>
          <w:szCs w:val="18"/>
          <w:color w:val="auto"/>
        </w:rPr>
        <w:t>Leasehold improvements are depreciated over the shorter of their useful life or the life of the lease.</w:t>
      </w:r>
    </w:p>
    <w:p>
      <w:pPr>
        <w:spacing w:after="0" w:line="2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Company manages its operations as a single segment, dedicated to discovering, developing, and advancing innovative, next-generation immunotherapies for cancer patients through its TMAb™ (Tumor Microenvironment Activated Biologics) platform. The Company’s Chief Operating Decision Maker (“CODM”), the Chief Executive Officer, reviews the operating results on an aggregate basis and manages the operations as a single operating segment. The CODM oversees performance assessment and resource allocation by reviewing net loss from our condensed consolidated statement of operations to guide operational decisions, strategic planning, and forecasting for future periods. To support this oversight, operating expenses are closely tracked to compare budget against actual results. As a single reporting segment, the significant operating expense categories regularly provided to the CODM include research and development and general and administrative expenses. These expense categories are reported as separate line items in our condensed consolidated statements of operations. All segment assets are reflected as 'total assets' in the condensed consolidated balance sheet. All equipment, leasehold improvements, and fixed assets are located in the United States, and agreements with partners are denominated in U.S. dollars, unless otherwise noted.</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type w:val="continuous"/>
        </w:sectPr>
      </w:pPr>
    </w:p>
    <w:bookmarkStart w:id="8" w:name="page9"/>
    <w:bookmarkEnd w:id="8"/>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At lease inception, the Company determines if an arrangement is or contains a lease, and if so, assesses the lease for classification as either an operating or finance lease. A lease is classified as a finance lease if any one of the following criteria are met: (i) the lease transfers ownership of the asset by the end of the lease term, (ii) the lease contains an option to purchase the asset that is reasonably certain to be exercised, (iii) the lease term is for a major part of the remaining useful life of the asset, (iv) the present value of the lease payments equals or exceeds substantially all of the fair value of the asset, or (v) the leased asset is of such a specialized nature that it is expected to have no alternative use to the lessor at the end of the lease. A lease is classified as an operating lease if it does not meet any of these criteria.</w:t>
      </w:r>
    </w:p>
    <w:p>
      <w:pPr>
        <w:spacing w:after="0" w:line="79" w:lineRule="exact"/>
        <w:rPr>
          <w:sz w:val="20"/>
          <w:szCs w:val="20"/>
          <w:color w:val="auto"/>
        </w:rPr>
      </w:pPr>
    </w:p>
    <w:p>
      <w:pPr>
        <w:ind w:right="160" w:firstLine="599"/>
        <w:spacing w:after="0" w:line="254" w:lineRule="auto"/>
        <w:rPr>
          <w:sz w:val="20"/>
          <w:szCs w:val="20"/>
          <w:color w:val="auto"/>
        </w:rPr>
      </w:pPr>
      <w:r>
        <w:rPr>
          <w:rFonts w:ascii="Times New Roman" w:cs="Times New Roman" w:eastAsia="Times New Roman" w:hAnsi="Times New Roman"/>
          <w:sz w:val="18"/>
          <w:szCs w:val="18"/>
          <w:color w:val="auto"/>
        </w:rPr>
        <w:t>Leases with a term greater than one year are recognized on the balance sheet as right-of-use (“ROU”) assets and current and non-current lease liabilities, as applicable. Leases with a term of one year or less are expensed as rent in the period incurred. The Company elected not to separate lease and non-lease components for all underlying assets. As most of the Company’s leases do not provide an implicit rate, the Company uses its incremental borrowing rate based on the information available at the commencement date in determining the present value of lease payments. The incremental borrowing rate is determined by using the rate of interest that the Company would pay to borrow on a collateralized basis an amount equal to the lease payments for a similar term and in a similar economic environment. Lease terms include options to extend or terminate the lease when it is reasonably certain that the Company will exercise the options. For leases that existed prior to the adoption of Accounting Standards Update No. 2016-02, Leases (Topic 842) (“ASC 842”), the Company used the remaining lease term to determine the appropriate incremental borrowing rate.</w:t>
      </w:r>
    </w:p>
    <w:p>
      <w:pPr>
        <w:spacing w:after="0" w:line="2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November 2024, the Financial Accounting Standards Board (“FASB”) issued ASU 2024-03, "Income Statement - Reporting Comprehensive Income - Expense Disaggregation Disclosures (Subtopic 220-40): Disaggregation of Income Statement Expenses." The standard is intended to require more detailed disclosures about specified categories of expenses (including employee compensation, depreciation, and amortization) included in certain expense captions presented on the face of the income statement. This ASU is effective for fiscal years beginning after December 15, 2026, and for interim periods within fiscal years beginning after December 15, 2027. Early adoption is permitted. The amendments may be applied either prospectively to financial statements issued for reporting periods after the effective date of this ASU or retrospectively to all prior periods presented in the financial statements. The Company is currently assessing the impact this standard will have on its consolidated financial statements.</w:t>
      </w:r>
    </w:p>
    <w:p>
      <w:pPr>
        <w:spacing w:after="0" w:line="8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is intended to enhance the transparency and decision usefulness of income tax disclosures. The amendments in ASU 2023-09 address investor requests for enhanced income tax information primarily through changes to the rate reconciliation and income taxes paid information. The Company is currently evaluating the impact of this standard on related year-end tax disclosures. A public entity should apply the amendments in ASU 2023-09 prospectively to all annual periods beginning after December 15, 2024. The Company does not expect adoption of this new guidance to have a material impact on its results of operations, financial condition, and financial statement disclosures.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MARKETABLE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Marketable securities consist of the following as of March 31, 2025 and December 31, 2024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80" w:type="dxa"/>
            <w:vAlign w:val="bottom"/>
            <w:gridSpan w:val="4"/>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As of March 31, 2025</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120" w:type="dxa"/>
            <w:vAlign w:val="bottom"/>
          </w:tcPr>
          <w:p>
            <w:pPr>
              <w:spacing w:after="0"/>
              <w:rPr>
                <w:sz w:val="20"/>
                <w:szCs w:val="20"/>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340" w:type="dxa"/>
            <w:vAlign w:val="bottom"/>
          </w:tcPr>
          <w:p>
            <w:pPr>
              <w:spacing w:after="0"/>
              <w:rPr>
                <w:sz w:val="20"/>
                <w:szCs w:val="20"/>
                <w:color w:val="auto"/>
              </w:rPr>
            </w:pPr>
          </w:p>
        </w:tc>
        <w:tc>
          <w:tcPr>
            <w:tcW w:w="98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20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4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0"/>
                <w:szCs w:val="20"/>
                <w:color w:val="auto"/>
              </w:rPr>
            </w:pPr>
          </w:p>
        </w:tc>
      </w:tr>
      <w:tr>
        <w:trPr>
          <w:trHeight w:val="209"/>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440" w:type="dxa"/>
            <w:vAlign w:val="bottom"/>
            <w:shd w:val="clear" w:color="auto" w:fill="CFF0FC"/>
          </w:tcPr>
          <w:p>
            <w:pPr>
              <w:jc w:val="right"/>
              <w:ind w:right="27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22,123</w:t>
            </w:r>
          </w:p>
        </w:tc>
        <w:tc>
          <w:tcPr>
            <w:tcW w:w="1320" w:type="dxa"/>
            <w:vAlign w:val="bottom"/>
            <w:gridSpan w:val="2"/>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93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22,116</w:t>
            </w:r>
          </w:p>
        </w:tc>
        <w:tc>
          <w:tcPr>
            <w:tcW w:w="100" w:type="dxa"/>
            <w:vAlign w:val="bottom"/>
            <w:shd w:val="clear" w:color="auto" w:fill="CFF0FC"/>
          </w:tcPr>
          <w:p>
            <w:pPr>
              <w:spacing w:after="0"/>
              <w:rPr>
                <w:sz w:val="18"/>
                <w:szCs w:val="18"/>
                <w:color w:val="auto"/>
              </w:rPr>
            </w:pPr>
          </w:p>
        </w:tc>
      </w:tr>
      <w:tr>
        <w:trPr>
          <w:trHeight w:val="216"/>
        </w:trPr>
        <w:tc>
          <w:tcPr>
            <w:tcW w:w="51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2,337</w:t>
            </w:r>
          </w:p>
        </w:tc>
        <w:tc>
          <w:tcPr>
            <w:tcW w:w="34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Borders>
              <w:bottom w:val="single" w:sz="8" w:color="CFF0FC"/>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2,338</w:t>
            </w:r>
          </w:p>
        </w:tc>
        <w:tc>
          <w:tcPr>
            <w:tcW w:w="100" w:type="dxa"/>
            <w:vAlign w:val="bottom"/>
            <w:tcBorders>
              <w:bottom w:val="single" w:sz="8" w:color="CFF0FC"/>
            </w:tcBorders>
          </w:tcPr>
          <w:p>
            <w:pPr>
              <w:spacing w:after="0"/>
              <w:rPr>
                <w:sz w:val="18"/>
                <w:szCs w:val="18"/>
                <w:color w:val="auto"/>
              </w:rPr>
            </w:pPr>
          </w:p>
        </w:tc>
      </w:tr>
      <w:tr>
        <w:trPr>
          <w:trHeight w:val="229"/>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shd w:val="clear" w:color="auto" w:fill="CFF0FC"/>
          </w:tcPr>
          <w:p>
            <w:pPr>
              <w:jc w:val="right"/>
              <w:ind w:right="27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24,460</w:t>
            </w:r>
          </w:p>
        </w:tc>
        <w:tc>
          <w:tcPr>
            <w:tcW w:w="3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932"/>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24,454</w:t>
            </w:r>
          </w:p>
        </w:tc>
        <w:tc>
          <w:tcPr>
            <w:tcW w:w="100" w:type="dxa"/>
            <w:vAlign w:val="bottom"/>
            <w:shd w:val="clear" w:color="auto" w:fill="CFF0FC"/>
          </w:tcPr>
          <w:p>
            <w:pPr>
              <w:spacing w:after="0"/>
              <w:rPr>
                <w:sz w:val="19"/>
                <w:szCs w:val="19"/>
                <w:color w:val="auto"/>
              </w:rPr>
            </w:pPr>
          </w:p>
        </w:tc>
      </w:tr>
      <w:tr>
        <w:trPr>
          <w:trHeight w:val="20"/>
        </w:trPr>
        <w:tc>
          <w:tcPr>
            <w:tcW w:w="512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-25400</wp:posOffset>
            </wp:positionV>
            <wp:extent cx="7683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-8255</wp:posOffset>
            </wp:positionV>
            <wp:extent cx="7683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-170815</wp:posOffset>
            </wp:positionV>
            <wp:extent cx="768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-25400</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-8255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-170815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-25400</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-8255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-170815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60" w:type="dxa"/>
            <w:vAlign w:val="bottom"/>
            <w:gridSpan w:val="4"/>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120" w:type="dxa"/>
            <w:vAlign w:val="bottom"/>
          </w:tcPr>
          <w:p>
            <w:pPr>
              <w:spacing w:after="0"/>
              <w:rPr>
                <w:sz w:val="20"/>
                <w:szCs w:val="20"/>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340" w:type="dxa"/>
            <w:vAlign w:val="bottom"/>
          </w:tcPr>
          <w:p>
            <w:pPr>
              <w:spacing w:after="0"/>
              <w:rPr>
                <w:sz w:val="20"/>
                <w:szCs w:val="20"/>
                <w:color w:val="auto"/>
              </w:rPr>
            </w:pPr>
          </w:p>
        </w:tc>
        <w:tc>
          <w:tcPr>
            <w:tcW w:w="102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16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6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0"/>
                <w:szCs w:val="20"/>
                <w:color w:val="auto"/>
              </w:rPr>
            </w:pPr>
          </w:p>
        </w:tc>
      </w:tr>
      <w:tr>
        <w:trPr>
          <w:trHeight w:val="210"/>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28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25,875</w:t>
            </w:r>
          </w:p>
        </w:tc>
        <w:tc>
          <w:tcPr>
            <w:tcW w:w="1360" w:type="dxa"/>
            <w:vAlign w:val="bottom"/>
            <w:gridSpan w:val="2"/>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380" w:type="dxa"/>
            <w:vAlign w:val="bottom"/>
            <w:gridSpan w:val="2"/>
            <w:shd w:val="clear" w:color="auto" w:fill="CFF0FC"/>
          </w:tcPr>
          <w:p>
            <w:pPr>
              <w:jc w:val="right"/>
              <w:ind w:right="91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w w:val="99"/>
              </w:rPr>
              <w:t>(16)</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25,861</w:t>
            </w:r>
          </w:p>
        </w:tc>
        <w:tc>
          <w:tcPr>
            <w:tcW w:w="100" w:type="dxa"/>
            <w:vAlign w:val="bottom"/>
            <w:shd w:val="clear" w:color="auto" w:fill="CFF0FC"/>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5,479</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5,480</w:t>
            </w:r>
          </w:p>
        </w:tc>
        <w:tc>
          <w:tcPr>
            <w:tcW w:w="100" w:type="dxa"/>
            <w:vAlign w:val="bottom"/>
          </w:tcPr>
          <w:p>
            <w:pPr>
              <w:spacing w:after="0"/>
              <w:rPr>
                <w:sz w:val="18"/>
                <w:szCs w:val="18"/>
                <w:color w:val="auto"/>
              </w:rPr>
            </w:pPr>
          </w:p>
        </w:tc>
      </w:tr>
      <w:tr>
        <w:trPr>
          <w:trHeight w:val="249"/>
        </w:trPr>
        <w:tc>
          <w:tcPr>
            <w:tcW w:w="51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shd w:val="clear" w:color="auto" w:fill="CFF0FC"/>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31,354</w:t>
            </w:r>
          </w:p>
        </w:tc>
        <w:tc>
          <w:tcPr>
            <w:tcW w:w="340" w:type="dxa"/>
            <w:vAlign w:val="bottom"/>
            <w:tcBorders>
              <w:top w:val="single" w:sz="8" w:color="CFF0FC"/>
              <w:bottom w:val="single" w:sz="8" w:color="CFF0FC"/>
            </w:tcBorders>
            <w:shd w:val="clear" w:color="auto" w:fill="CFF0FC"/>
          </w:tcPr>
          <w:p>
            <w:pPr>
              <w:spacing w:after="0"/>
              <w:rPr>
                <w:sz w:val="21"/>
                <w:szCs w:val="21"/>
                <w:color w:val="auto"/>
              </w:rPr>
            </w:pPr>
          </w:p>
        </w:tc>
        <w:tc>
          <w:tcPr>
            <w:tcW w:w="1020" w:type="dxa"/>
            <w:vAlign w:val="bottom"/>
            <w:tcBorders>
              <w:top w:val="single" w:sz="8" w:color="auto"/>
              <w:bottom w:val="single" w:sz="8" w:color="auto"/>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Borders>
              <w:top w:val="single" w:sz="8" w:color="CFF0FC"/>
              <w:bottom w:val="single" w:sz="8" w:color="CFF0FC"/>
            </w:tcBorders>
            <w:shd w:val="clear" w:color="auto" w:fill="CFF0FC"/>
          </w:tcPr>
          <w:p>
            <w:pPr>
              <w:spacing w:after="0"/>
              <w:rPr>
                <w:sz w:val="21"/>
                <w:szCs w:val="21"/>
                <w:color w:val="auto"/>
              </w:rPr>
            </w:pPr>
          </w:p>
        </w:tc>
        <w:tc>
          <w:tcPr>
            <w:tcW w:w="1080" w:type="dxa"/>
            <w:vAlign w:val="bottom"/>
            <w:tcBorders>
              <w:top w:val="single" w:sz="8" w:color="auto"/>
              <w:bottom w:val="single" w:sz="8" w:color="auto"/>
            </w:tcBorders>
            <w:shd w:val="clear" w:color="auto" w:fill="CFF0FC"/>
          </w:tcPr>
          <w:p>
            <w:pPr>
              <w:jc w:val="right"/>
              <w:ind w:right="912"/>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79"/>
              </w:rPr>
              <w:t>(17)</w:t>
            </w:r>
          </w:p>
        </w:tc>
        <w:tc>
          <w:tcPr>
            <w:tcW w:w="300" w:type="dxa"/>
            <w:vAlign w:val="bottom"/>
            <w:tcBorders>
              <w:top w:val="single" w:sz="8" w:color="CFF0FC"/>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31,341</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r>
      <w:tr>
        <w:trPr>
          <w:trHeight w:val="629"/>
        </w:trPr>
        <w:tc>
          <w:tcPr>
            <w:tcW w:w="5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7</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5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-933450</wp:posOffset>
            </wp:positionV>
            <wp:extent cx="7683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-916305</wp:posOffset>
            </wp:positionV>
            <wp:extent cx="7683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-1079500</wp:posOffset>
            </wp:positionV>
            <wp:extent cx="768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-933450</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-916305</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-1079500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-933450</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-916305</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-1079500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9" w:name="page10"/>
    <w:bookmarkEnd w:id="9"/>
    <w:p>
      <w:pPr>
        <w:ind w:left="520"/>
        <w:spacing w:after="0"/>
        <w:rPr>
          <w:sz w:val="20"/>
          <w:szCs w:val="20"/>
          <w:color w:val="auto"/>
        </w:rPr>
      </w:pPr>
      <w:r>
        <w:rPr>
          <w:rFonts w:ascii="Times New Roman" w:cs="Times New Roman" w:eastAsia="Times New Roman" w:hAnsi="Times New Roman"/>
          <w:sz w:val="18"/>
          <w:szCs w:val="18"/>
          <w:color w:val="auto"/>
        </w:rPr>
        <w:t>As of March 31, 2025, all marketable securities held by the Company had remaining contractual maturities of one year or less.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impairments of the Company’s assets measured and carried at fair value during the three months ended March 31, 2025.</w:t>
      </w:r>
    </w:p>
    <w:p>
      <w:pPr>
        <w:spacing w:after="0" w:line="117"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2025, an immaterial amount of unrealized losses were associated with marketable securities with contractual maturities of one year or less.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and liabilities measured at fair value on a recurring basis and indicate the level of the fair value hierarchy used to determine such fair values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580" w:type="dxa"/>
            <w:vAlign w:val="bottom"/>
            <w:gridSpan w:val="7"/>
          </w:tcPr>
          <w:p>
            <w:pPr>
              <w:ind w:left="80"/>
              <w:spacing w:after="0"/>
              <w:rPr>
                <w:sz w:val="20"/>
                <w:szCs w:val="20"/>
                <w:color w:val="auto"/>
              </w:rPr>
            </w:pPr>
            <w:r>
              <w:rPr>
                <w:rFonts w:ascii="Times New Roman" w:cs="Times New Roman" w:eastAsia="Times New Roman" w:hAnsi="Times New Roman"/>
                <w:sz w:val="18"/>
                <w:szCs w:val="18"/>
                <w:b w:val="1"/>
                <w:bCs w:val="1"/>
                <w:color w:val="auto"/>
              </w:rPr>
              <w:t>Fair value measurements at March 31, 2025</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80" w:type="dxa"/>
            <w:vAlign w:val="bottom"/>
          </w:tcPr>
          <w:p>
            <w:pPr>
              <w:spacing w:after="0"/>
              <w:rPr>
                <w:sz w:val="20"/>
                <w:szCs w:val="20"/>
                <w:color w:val="auto"/>
              </w:rPr>
            </w:pPr>
          </w:p>
        </w:tc>
        <w:tc>
          <w:tcPr>
            <w:tcW w:w="12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2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Money market funds</w:t>
            </w:r>
          </w:p>
        </w:tc>
        <w:tc>
          <w:tcPr>
            <w:tcW w:w="980" w:type="dxa"/>
            <w:vAlign w:val="bottom"/>
            <w:gridSpan w:val="2"/>
          </w:tcPr>
          <w:p>
            <w:pPr>
              <w:jc w:val="right"/>
              <w:ind w:right="827"/>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9,103</w:t>
            </w:r>
          </w:p>
        </w:tc>
        <w:tc>
          <w:tcPr>
            <w:tcW w:w="5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9,103</w:t>
            </w:r>
          </w:p>
        </w:tc>
        <w:tc>
          <w:tcPr>
            <w:tcW w:w="100" w:type="dxa"/>
            <w:vAlign w:val="bottom"/>
          </w:tcPr>
          <w:p>
            <w:pPr>
              <w:spacing w:after="0"/>
              <w:rPr>
                <w:sz w:val="18"/>
                <w:szCs w:val="18"/>
                <w:color w:val="auto"/>
              </w:rPr>
            </w:pPr>
          </w:p>
        </w:tc>
      </w:tr>
      <w:tr>
        <w:trPr>
          <w:trHeight w:val="216"/>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Investments:</w:t>
            </w:r>
          </w:p>
        </w:tc>
        <w:tc>
          <w:tcPr>
            <w:tcW w:w="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paper</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22,116</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22,116</w:t>
            </w:r>
          </w:p>
        </w:tc>
        <w:tc>
          <w:tcPr>
            <w:tcW w:w="100" w:type="dxa"/>
            <w:vAlign w:val="bottom"/>
          </w:tcPr>
          <w:p>
            <w:pPr>
              <w:spacing w:after="0"/>
              <w:rPr>
                <w:sz w:val="18"/>
                <w:szCs w:val="18"/>
                <w:color w:val="auto"/>
              </w:rPr>
            </w:pPr>
          </w:p>
        </w:tc>
      </w:tr>
      <w:tr>
        <w:trPr>
          <w:trHeight w:val="216"/>
        </w:trPr>
        <w:tc>
          <w:tcPr>
            <w:tcW w:w="4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2,338</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2,338</w:t>
            </w:r>
          </w:p>
        </w:tc>
        <w:tc>
          <w:tcPr>
            <w:tcW w:w="100" w:type="dxa"/>
            <w:vAlign w:val="bottom"/>
            <w:shd w:val="clear" w:color="auto" w:fill="CFF0FC"/>
          </w:tcPr>
          <w:p>
            <w:pPr>
              <w:spacing w:after="0"/>
              <w:rPr>
                <w:sz w:val="18"/>
                <w:szCs w:val="18"/>
                <w:color w:val="auto"/>
              </w:rPr>
            </w:pPr>
          </w:p>
        </w:tc>
      </w:tr>
      <w:tr>
        <w:trPr>
          <w:trHeight w:val="209"/>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827"/>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9,103</w:t>
            </w:r>
          </w:p>
        </w:tc>
        <w:tc>
          <w:tcPr>
            <w:tcW w:w="2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24,454</w:t>
            </w:r>
          </w:p>
        </w:tc>
        <w:tc>
          <w:tcPr>
            <w:tcW w:w="2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33,557</w:t>
            </w:r>
          </w:p>
        </w:tc>
        <w:tc>
          <w:tcPr>
            <w:tcW w:w="100" w:type="dxa"/>
            <w:vAlign w:val="bottom"/>
          </w:tcPr>
          <w:p>
            <w:pPr>
              <w:spacing w:after="0"/>
              <w:rPr>
                <w:sz w:val="18"/>
                <w:szCs w:val="18"/>
                <w:color w:val="auto"/>
              </w:rPr>
            </w:pPr>
          </w:p>
        </w:tc>
      </w:tr>
      <w:tr>
        <w:trPr>
          <w:trHeight w:val="20"/>
        </w:trPr>
        <w:tc>
          <w:tcPr>
            <w:tcW w:w="4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80" w:type="dxa"/>
            <w:vAlign w:val="bottom"/>
            <w:gridSpan w:val="9"/>
          </w:tcPr>
          <w:p>
            <w:pPr>
              <w:jc w:val="right"/>
              <w:ind w:right="196"/>
              <w:spacing w:after="0"/>
              <w:rPr>
                <w:sz w:val="20"/>
                <w:szCs w:val="20"/>
                <w:color w:val="auto"/>
              </w:rPr>
            </w:pPr>
            <w:r>
              <w:rPr>
                <w:rFonts w:ascii="Times New Roman" w:cs="Times New Roman" w:eastAsia="Times New Roman" w:hAnsi="Times New Roman"/>
                <w:sz w:val="18"/>
                <w:szCs w:val="18"/>
                <w:b w:val="1"/>
                <w:bCs w:val="1"/>
                <w:color w:val="auto"/>
              </w:rPr>
              <w:t>Fair value measurements at December 31, 2024</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2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Money market funds</w:t>
            </w:r>
          </w:p>
        </w:tc>
        <w:tc>
          <w:tcPr>
            <w:tcW w:w="980" w:type="dxa"/>
            <w:vAlign w:val="bottom"/>
            <w:gridSpan w:val="2"/>
          </w:tcPr>
          <w:p>
            <w:pPr>
              <w:jc w:val="right"/>
              <w:ind w:right="827"/>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9,220</w:t>
            </w:r>
          </w:p>
        </w:tc>
        <w:tc>
          <w:tcPr>
            <w:tcW w:w="5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9,220</w:t>
            </w:r>
          </w:p>
        </w:tc>
        <w:tc>
          <w:tcPr>
            <w:tcW w:w="100" w:type="dxa"/>
            <w:vAlign w:val="bottom"/>
          </w:tcPr>
          <w:p>
            <w:pPr>
              <w:spacing w:after="0"/>
              <w:rPr>
                <w:sz w:val="18"/>
                <w:szCs w:val="18"/>
                <w:color w:val="auto"/>
              </w:rPr>
            </w:pPr>
          </w:p>
        </w:tc>
      </w:tr>
      <w:tr>
        <w:trPr>
          <w:trHeight w:val="216"/>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Investments:</w:t>
            </w:r>
          </w:p>
        </w:tc>
        <w:tc>
          <w:tcPr>
            <w:tcW w:w="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paper</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25,861</w:t>
            </w:r>
          </w:p>
        </w:tc>
        <w:tc>
          <w:tcPr>
            <w:tcW w:w="100" w:type="dxa"/>
            <w:vAlign w:val="bottom"/>
          </w:tcPr>
          <w:p>
            <w:pPr>
              <w:spacing w:after="0"/>
              <w:rPr>
                <w:sz w:val="18"/>
                <w:szCs w:val="18"/>
                <w:color w:val="auto"/>
              </w:rPr>
            </w:pPr>
          </w:p>
        </w:tc>
      </w:tr>
      <w:tr>
        <w:trPr>
          <w:trHeight w:val="216"/>
        </w:trPr>
        <w:tc>
          <w:tcPr>
            <w:tcW w:w="4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0" w:type="dxa"/>
            <w:vAlign w:val="bottom"/>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5,480</w:t>
            </w:r>
          </w:p>
        </w:tc>
        <w:tc>
          <w:tcPr>
            <w:tcW w:w="26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5,480</w:t>
            </w:r>
          </w:p>
        </w:tc>
        <w:tc>
          <w:tcPr>
            <w:tcW w:w="100" w:type="dxa"/>
            <w:vAlign w:val="bottom"/>
            <w:shd w:val="clear" w:color="auto" w:fill="CFF0FC"/>
          </w:tcPr>
          <w:p>
            <w:pPr>
              <w:spacing w:after="0"/>
              <w:rPr>
                <w:sz w:val="18"/>
                <w:szCs w:val="18"/>
                <w:color w:val="auto"/>
              </w:rPr>
            </w:pPr>
          </w:p>
        </w:tc>
      </w:tr>
      <w:tr>
        <w:trPr>
          <w:trHeight w:val="210"/>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827"/>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9,220</w:t>
            </w:r>
          </w:p>
        </w:tc>
        <w:tc>
          <w:tcPr>
            <w:tcW w:w="28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31,341</w:t>
            </w:r>
          </w:p>
        </w:tc>
        <w:tc>
          <w:tcPr>
            <w:tcW w:w="26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18"/>
                <w:szCs w:val="18"/>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40,561</w:t>
            </w:r>
          </w:p>
        </w:tc>
        <w:tc>
          <w:tcPr>
            <w:tcW w:w="100" w:type="dxa"/>
            <w:vAlign w:val="bottom"/>
          </w:tcPr>
          <w:p>
            <w:pPr>
              <w:spacing w:after="0"/>
              <w:rPr>
                <w:sz w:val="18"/>
                <w:szCs w:val="18"/>
                <w:color w:val="auto"/>
              </w:rPr>
            </w:pPr>
          </w:p>
        </w:tc>
      </w:tr>
      <w:tr>
        <w:trPr>
          <w:trHeight w:val="20"/>
        </w:trPr>
        <w:tc>
          <w:tcPr>
            <w:tcW w:w="4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0"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When developing fair value estimates, the Company maximizes the use of observable inputs and minimizes the use of unobservable inputs. When available, the Company uses quoted market prices to measure fair value. The valuation technique used to measure fair value for the Company's Level 1 and Level 2 assets is a market approach, using prices and other relevant information generated by market transactions involving identical or comparable assets. If market prices are not available, the fair value measurement is based on models that use primarily market-based parameters including yield curves, volatilities, credit ratings and currency rates. In certain cases where market rate assumptions are not available, the Company is required to make judgments about assumptions market participants would use to estimate the fair value of a financial instrument.</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transfers among Level 1, Level 2 or Level 3 categories in the three months ended March 31, 2025 and 2024.</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PROPERTY AND EQUIPMENT,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net consist of the following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40" w:type="dxa"/>
            <w:vAlign w:val="bottom"/>
          </w:tcPr>
          <w:p>
            <w:pPr>
              <w:spacing w:after="0"/>
              <w:rPr>
                <w:sz w:val="15"/>
                <w:szCs w:val="15"/>
                <w:color w:val="auto"/>
              </w:rPr>
            </w:pPr>
          </w:p>
        </w:tc>
        <w:tc>
          <w:tcPr>
            <w:tcW w:w="11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equipment</w:t>
            </w:r>
          </w:p>
        </w:tc>
        <w:tc>
          <w:tcPr>
            <w:tcW w:w="1160" w:type="dxa"/>
            <w:vAlign w:val="bottom"/>
            <w:shd w:val="clear" w:color="auto" w:fill="CFF0FC"/>
          </w:tcPr>
          <w:p>
            <w:pPr>
              <w:jc w:val="right"/>
              <w:ind w:right="97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1,306</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 and furniture</w:t>
            </w:r>
          </w:p>
        </w:tc>
        <w:tc>
          <w:tcPr>
            <w:tcW w:w="116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354</w:t>
            </w: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w:t>
            </w:r>
          </w:p>
        </w:tc>
        <w:tc>
          <w:tcPr>
            <w:tcW w:w="116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253</w:t>
            </w:r>
          </w:p>
        </w:tc>
        <w:tc>
          <w:tcPr>
            <w:tcW w:w="1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253</w:t>
            </w:r>
          </w:p>
        </w:tc>
      </w:tr>
      <w:tr>
        <w:trPr>
          <w:trHeight w:val="210"/>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16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1,913</w:t>
            </w: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16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(1,496)</w:t>
            </w: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160" w:type="dxa"/>
            <w:vAlign w:val="bottom"/>
          </w:tcPr>
          <w:p>
            <w:pPr>
              <w:jc w:val="right"/>
              <w:ind w:right="97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159</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417</w:t>
            </w:r>
          </w:p>
        </w:tc>
      </w:tr>
      <w:tr>
        <w:trPr>
          <w:trHeight w:val="20"/>
        </w:trPr>
        <w:tc>
          <w:tcPr>
            <w:tcW w:w="77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-454025</wp:posOffset>
            </wp:positionV>
            <wp:extent cx="10287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10287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and amortization expense for the three months ended March 31, 2025 and 2024 was $30 thousand and $137 thousand,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 w:name="page11"/>
    <w:bookmarkEnd w:id="10"/>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2025, the Company disposed of all research equipment through the sale of fixed assets, resulting in a reduction of the gross carrying amount to zero. The related accumulated depreciation of $1,078 thousand was written off in connection with this disposal. A gain of $23 thousand was recognized on the sale and is included in the other income (expense) line in the condensed consolidated statements of operations and comprehensive loss for the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COMMITMENTS AND CONTINGENCIES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As of March 31, 2025, the Company leases office and laboratory facilities under operating leases, which expire at various dates through 2027. The Company has $678 thousand in letters of credit outstanding as security on certain of these leases. As part of its adoption of ASC 842, the Company recorded operating ROU assets and operating lease liabilities for these leases as of January 1, 2022.</w:t>
      </w:r>
    </w:p>
    <w:p>
      <w:pPr>
        <w:spacing w:after="0" w:line="68"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Company entered into an operating sublease agreement on January 18, 2023 (the "Sublease") with respect to part of its existing Boston office and laboratory facilities (the "Head Lease"). The Company accounted for the Head Lease and the Sublease as separate contracts and there was no effect on the ROU asset or lease liability associated with the Head Lease. The Sublease ended on December 31, 2024. The Head Lease rent expense is presented separately from income related to the Sublease and both are reported as components of operating expenses on the condensed consolidated statements of operations and comprehensive loss. The Company recorded $94 thousand of income related to the Sublease for the three months ended March 31, 2024.</w:t>
      </w:r>
    </w:p>
    <w:p>
      <w:pPr>
        <w:spacing w:after="0" w:line="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Finance Leases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leases research equipment and furniture under finance leases.</w:t>
      </w:r>
    </w:p>
    <w:p>
      <w:pPr>
        <w:spacing w:after="0" w:line="117"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contains a summary of the lease costs recognized under ASC 842 pertaining to the Company’s finance and operating leases for the three months ended March 31, 2025 and 2024 (in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560" w:type="dxa"/>
            <w:vAlign w:val="bottom"/>
            <w:gridSpan w:val="4"/>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6860" w:type="dxa"/>
            <w:vAlign w:val="bottom"/>
          </w:tcPr>
          <w:p>
            <w:pPr>
              <w:spacing w:after="0"/>
              <w:rPr>
                <w:sz w:val="15"/>
                <w:szCs w:val="15"/>
                <w:color w:val="auto"/>
              </w:rPr>
            </w:pPr>
          </w:p>
        </w:tc>
        <w:tc>
          <w:tcPr>
            <w:tcW w:w="1560" w:type="dxa"/>
            <w:vAlign w:val="bottom"/>
            <w:gridSpan w:val="2"/>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5"/>
                <w:szCs w:val="15"/>
                <w:color w:val="auto"/>
              </w:rPr>
            </w:pPr>
          </w:p>
        </w:tc>
        <w:tc>
          <w:tcPr>
            <w:tcW w:w="160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9"/>
        </w:trPr>
        <w:tc>
          <w:tcPr>
            <w:tcW w:w="68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Cost:</w:t>
            </w:r>
          </w:p>
        </w:tc>
        <w:tc>
          <w:tcPr>
            <w:tcW w:w="160" w:type="dxa"/>
            <w:vAlign w:val="bottom"/>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finance ROU assets</w:t>
            </w:r>
          </w:p>
        </w:tc>
        <w:tc>
          <w:tcPr>
            <w:tcW w:w="1560" w:type="dxa"/>
            <w:vAlign w:val="bottom"/>
            <w:gridSpan w:val="2"/>
          </w:tcPr>
          <w:p>
            <w:pPr>
              <w:jc w:val="right"/>
              <w:ind w:right="121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0" w:type="dxa"/>
            <w:vAlign w:val="bottom"/>
            <w:gridSpan w:val="2"/>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18"/>
                <w:szCs w:val="18"/>
                <w:color w:val="auto"/>
              </w:rPr>
            </w:pPr>
          </w:p>
        </w:tc>
      </w:tr>
      <w:tr>
        <w:trPr>
          <w:trHeight w:val="216"/>
        </w:trPr>
        <w:tc>
          <w:tcPr>
            <w:tcW w:w="6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on finance lease liabilities</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FF0FC"/>
          </w:tcPr>
          <w:p>
            <w:pPr>
              <w:spacing w:after="0"/>
              <w:rPr>
                <w:sz w:val="18"/>
                <w:szCs w:val="18"/>
                <w:color w:val="auto"/>
              </w:rPr>
            </w:pPr>
          </w:p>
        </w:tc>
      </w:tr>
      <w:tr>
        <w:trPr>
          <w:trHeight w:val="216"/>
        </w:trPr>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cost</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tcPr>
          <w:p>
            <w:pPr>
              <w:spacing w:after="0"/>
              <w:rPr>
                <w:sz w:val="18"/>
                <w:szCs w:val="18"/>
                <w:color w:val="auto"/>
              </w:rPr>
            </w:pPr>
          </w:p>
        </w:tc>
      </w:tr>
      <w:tr>
        <w:trPr>
          <w:trHeight w:val="216"/>
        </w:trPr>
        <w:tc>
          <w:tcPr>
            <w:tcW w:w="68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Variable lease cost</w:t>
            </w:r>
          </w:p>
        </w:tc>
        <w:tc>
          <w:tcPr>
            <w:tcW w:w="16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6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Total lease costs</w:t>
            </w:r>
          </w:p>
        </w:tc>
        <w:tc>
          <w:tcPr>
            <w:tcW w:w="160" w:type="dxa"/>
            <w:vAlign w:val="bottom"/>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260" w:type="dxa"/>
            <w:vAlign w:val="bottom"/>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00" w:type="dxa"/>
            <w:vAlign w:val="bottom"/>
          </w:tcPr>
          <w:p>
            <w:pPr>
              <w:spacing w:after="0"/>
              <w:rPr>
                <w:sz w:val="18"/>
                <w:szCs w:val="18"/>
                <w:color w:val="auto"/>
              </w:rPr>
            </w:pPr>
          </w:p>
        </w:tc>
      </w:tr>
      <w:tr>
        <w:trPr>
          <w:trHeight w:val="210"/>
        </w:trPr>
        <w:tc>
          <w:tcPr>
            <w:tcW w:w="6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Sublease income</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(94)</w:t>
            </w:r>
          </w:p>
        </w:tc>
      </w:tr>
      <w:tr>
        <w:trPr>
          <w:trHeight w:val="210"/>
        </w:trPr>
        <w:tc>
          <w:tcPr>
            <w:tcW w:w="68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lease costs, net</w:t>
            </w:r>
          </w:p>
        </w:tc>
        <w:tc>
          <w:tcPr>
            <w:tcW w:w="160" w:type="dxa"/>
            <w:vAlign w:val="bottom"/>
            <w:tcBorders>
              <w:top w:val="single" w:sz="8" w:color="CFF0FC"/>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121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260" w:type="dxa"/>
            <w:vAlign w:val="bottom"/>
            <w:tcBorders>
              <w:top w:val="single" w:sz="8" w:color="CFF0FC"/>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11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00" w:type="dxa"/>
            <w:vAlign w:val="bottom"/>
            <w:tcBorders>
              <w:top w:val="single" w:sz="8" w:color="CFF0FC"/>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-445135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-445135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-153670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the Company disposed of research equipment classified as a ROU asset under a lease agreement. The ROU asset was sold, resulting in a loss of $3 thousand, which is included in the other income (expense) line in the condensed consolidated statements of operations and comprehensive loss for the period.</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contains a summary of other information pertaining to the Company’s finance and operating leases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 and 2024 (in thousands, except lease term and discount rate):</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38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4540" w:type="dxa"/>
            <w:vAlign w:val="bottom"/>
          </w:tcPr>
          <w:p>
            <w:pPr>
              <w:spacing w:after="0"/>
              <w:rPr>
                <w:sz w:val="15"/>
                <w:szCs w:val="15"/>
                <w:color w:val="auto"/>
              </w:rPr>
            </w:pPr>
          </w:p>
        </w:tc>
        <w:tc>
          <w:tcPr>
            <w:tcW w:w="368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2025</w:t>
            </w:r>
          </w:p>
        </w:tc>
        <w:tc>
          <w:tcPr>
            <w:tcW w:w="760" w:type="dxa"/>
            <w:vAlign w:val="bottom"/>
          </w:tcPr>
          <w:p>
            <w:pPr>
              <w:spacing w:after="0"/>
              <w:rPr>
                <w:sz w:val="15"/>
                <w:szCs w:val="15"/>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0"/>
        </w:trPr>
        <w:tc>
          <w:tcPr>
            <w:tcW w:w="45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Operating Lease Information:</w:t>
            </w:r>
          </w:p>
        </w:tc>
        <w:tc>
          <w:tcPr>
            <w:tcW w:w="232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cash outflows for operating leases</w:t>
            </w:r>
          </w:p>
        </w:tc>
        <w:tc>
          <w:tcPr>
            <w:tcW w:w="3680" w:type="dxa"/>
            <w:vAlign w:val="bottom"/>
            <w:gridSpan w:val="3"/>
          </w:tcPr>
          <w:p>
            <w:pPr>
              <w:jc w:val="right"/>
              <w:ind w:right="102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420" w:type="dxa"/>
            <w:vAlign w:val="bottom"/>
            <w:gridSpan w:val="2"/>
          </w:tcPr>
          <w:p>
            <w:pPr>
              <w:jc w:val="right"/>
              <w:ind w:right="10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tcPr>
          <w:p>
            <w:pPr>
              <w:spacing w:after="0"/>
              <w:rPr>
                <w:sz w:val="18"/>
                <w:szCs w:val="18"/>
                <w:color w:val="auto"/>
              </w:rPr>
            </w:pPr>
          </w:p>
        </w:tc>
      </w:tr>
      <w:tr>
        <w:trPr>
          <w:trHeight w:val="216"/>
        </w:trPr>
        <w:tc>
          <w:tcPr>
            <w:tcW w:w="4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cash inflows for operating subleases</w:t>
            </w:r>
          </w:p>
        </w:tc>
        <w:tc>
          <w:tcPr>
            <w:tcW w:w="3680" w:type="dxa"/>
            <w:vAlign w:val="bottom"/>
            <w:gridSpan w:val="3"/>
            <w:shd w:val="clear" w:color="auto" w:fill="CFF0FC"/>
          </w:tcPr>
          <w:p>
            <w:pPr>
              <w:jc w:val="right"/>
              <w:ind w:right="102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10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4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cash outflows for finance leases</w:t>
            </w:r>
          </w:p>
        </w:tc>
        <w:tc>
          <w:tcPr>
            <w:tcW w:w="3680" w:type="dxa"/>
            <w:vAlign w:val="bottom"/>
            <w:gridSpan w:val="3"/>
          </w:tcPr>
          <w:p>
            <w:pPr>
              <w:jc w:val="right"/>
              <w:ind w:right="102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20" w:type="dxa"/>
            <w:vAlign w:val="bottom"/>
            <w:gridSpan w:val="2"/>
          </w:tcPr>
          <w:p>
            <w:pPr>
              <w:jc w:val="right"/>
              <w:ind w:right="10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8"/>
                <w:szCs w:val="18"/>
                <w:color w:val="auto"/>
              </w:rPr>
            </w:pPr>
          </w:p>
        </w:tc>
      </w:tr>
      <w:tr>
        <w:trPr>
          <w:trHeight w:val="216"/>
        </w:trPr>
        <w:tc>
          <w:tcPr>
            <w:tcW w:w="4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Financing cash outflows from finance leases</w:t>
            </w:r>
          </w:p>
        </w:tc>
        <w:tc>
          <w:tcPr>
            <w:tcW w:w="3680" w:type="dxa"/>
            <w:vAlign w:val="bottom"/>
            <w:gridSpan w:val="3"/>
            <w:shd w:val="clear" w:color="auto" w:fill="CFF0FC"/>
          </w:tcPr>
          <w:p>
            <w:pPr>
              <w:jc w:val="right"/>
              <w:ind w:right="102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420" w:type="dxa"/>
            <w:vAlign w:val="bottom"/>
            <w:gridSpan w:val="2"/>
            <w:shd w:val="clear" w:color="auto" w:fill="CFF0FC"/>
          </w:tcPr>
          <w:p>
            <w:pPr>
              <w:jc w:val="right"/>
              <w:ind w:right="10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shd w:val="clear" w:color="auto" w:fill="CFF0FC"/>
          </w:tcPr>
          <w:p>
            <w:pPr>
              <w:spacing w:after="0"/>
              <w:rPr>
                <w:sz w:val="18"/>
                <w:szCs w:val="18"/>
                <w:color w:val="auto"/>
              </w:rPr>
            </w:pPr>
          </w:p>
        </w:tc>
      </w:tr>
      <w:tr>
        <w:trPr>
          <w:trHeight w:val="216"/>
        </w:trPr>
        <w:tc>
          <w:tcPr>
            <w:tcW w:w="45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2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years</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 years</w:t>
            </w:r>
          </w:p>
        </w:tc>
      </w:tr>
      <w:tr>
        <w:trPr>
          <w:trHeight w:val="216"/>
        </w:trPr>
        <w:tc>
          <w:tcPr>
            <w:tcW w:w="4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Financing leases</w:t>
            </w:r>
          </w:p>
        </w:tc>
        <w:tc>
          <w:tcPr>
            <w:tcW w:w="2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 years</w:t>
            </w: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1.8 years</w:t>
            </w:r>
          </w:p>
        </w:tc>
      </w:tr>
      <w:tr>
        <w:trPr>
          <w:trHeight w:val="432"/>
        </w:trPr>
        <w:tc>
          <w:tcPr>
            <w:tcW w:w="4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2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FF0FC"/>
          </w:tcPr>
          <w:p>
            <w:pPr>
              <w:spacing w:after="0"/>
              <w:rPr>
                <w:sz w:val="18"/>
                <w:szCs w:val="18"/>
                <w:color w:val="auto"/>
              </w:rPr>
            </w:pPr>
          </w:p>
        </w:tc>
      </w:tr>
      <w:tr>
        <w:trPr>
          <w:trHeight w:val="234"/>
        </w:trPr>
        <w:tc>
          <w:tcPr>
            <w:tcW w:w="4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leases</w:t>
            </w:r>
          </w:p>
        </w:tc>
        <w:tc>
          <w:tcPr>
            <w:tcW w:w="2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20"/>
                <w:szCs w:val="20"/>
                <w:color w:val="auto"/>
              </w:rPr>
            </w:pPr>
          </w:p>
        </w:tc>
      </w:tr>
      <w:tr>
        <w:trPr>
          <w:trHeight w:val="630"/>
        </w:trPr>
        <w:tc>
          <w:tcPr>
            <w:tcW w:w="4540" w:type="dxa"/>
            <w:vAlign w:val="bottom"/>
          </w:tcPr>
          <w:p>
            <w:pPr>
              <w:spacing w:after="0"/>
              <w:rPr>
                <w:sz w:val="24"/>
                <w:szCs w:val="24"/>
                <w:color w:val="auto"/>
              </w:rPr>
            </w:pPr>
          </w:p>
        </w:tc>
        <w:tc>
          <w:tcPr>
            <w:tcW w:w="2320" w:type="dxa"/>
            <w:vAlign w:val="bottom"/>
          </w:tcPr>
          <w:p>
            <w:pPr>
              <w:jc w:val="right"/>
              <w:ind w:right="1113"/>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54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The following table presents the maturity of the Company’s operating and finance lease liabilities as of March 31, 2025 (in thousands):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Financing</w:t>
            </w:r>
          </w:p>
        </w:tc>
        <w:tc>
          <w:tcPr>
            <w:tcW w:w="100" w:type="dxa"/>
            <w:vAlign w:val="bottom"/>
          </w:tcPr>
          <w:p>
            <w:pPr>
              <w:spacing w:after="0"/>
              <w:rPr>
                <w:sz w:val="15"/>
                <w:szCs w:val="15"/>
                <w:color w:val="auto"/>
              </w:rPr>
            </w:pPr>
          </w:p>
        </w:tc>
      </w:tr>
      <w:tr>
        <w:trPr>
          <w:trHeight w:val="210"/>
        </w:trPr>
        <w:tc>
          <w:tcPr>
            <w:tcW w:w="8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620" w:type="dxa"/>
            <w:vAlign w:val="bottom"/>
            <w:gridSpan w:val="3"/>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shd w:val="clear" w:color="auto" w:fill="CFF0FC"/>
          </w:tcPr>
          <w:p>
            <w:pPr>
              <w:spacing w:after="0"/>
              <w:rPr>
                <w:sz w:val="18"/>
                <w:szCs w:val="18"/>
                <w:color w:val="auto"/>
              </w:rPr>
            </w:pP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8"/>
                <w:szCs w:val="18"/>
                <w:color w:val="auto"/>
              </w:rPr>
            </w:pPr>
          </w:p>
        </w:tc>
      </w:tr>
      <w:tr>
        <w:trPr>
          <w:trHeight w:val="216"/>
        </w:trPr>
        <w:tc>
          <w:tcPr>
            <w:tcW w:w="8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2,744</w:t>
            </w:r>
          </w:p>
        </w:tc>
        <w:tc>
          <w:tcPr>
            <w:tcW w:w="360" w:type="dxa"/>
            <w:vAlign w:val="bottom"/>
            <w:gridSpan w:val="2"/>
          </w:tcPr>
          <w:p>
            <w:pPr>
              <w:spacing w:after="0"/>
              <w:rPr>
                <w:sz w:val="18"/>
                <w:szCs w:val="18"/>
                <w:color w:val="auto"/>
              </w:rPr>
            </w:pPr>
          </w:p>
        </w:tc>
        <w:tc>
          <w:tcPr>
            <w:tcW w:w="26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tcPr>
          <w:p>
            <w:pPr>
              <w:spacing w:after="0"/>
              <w:rPr>
                <w:sz w:val="18"/>
                <w:szCs w:val="18"/>
                <w:color w:val="auto"/>
              </w:rPr>
            </w:pPr>
          </w:p>
        </w:tc>
      </w:tr>
      <w:tr>
        <w:trPr>
          <w:trHeight w:val="216"/>
        </w:trPr>
        <w:tc>
          <w:tcPr>
            <w:tcW w:w="8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w:t>
            </w:r>
          </w:p>
        </w:tc>
        <w:tc>
          <w:tcPr>
            <w:tcW w:w="620" w:type="dxa"/>
            <w:vAlign w:val="bottom"/>
            <w:gridSpan w:val="3"/>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tcPr>
          <w:p>
            <w:pPr>
              <w:spacing w:after="0"/>
              <w:rPr>
                <w:sz w:val="18"/>
                <w:szCs w:val="18"/>
                <w:color w:val="auto"/>
              </w:rPr>
            </w:pPr>
          </w:p>
        </w:tc>
      </w:tr>
      <w:tr>
        <w:trPr>
          <w:trHeight w:val="20"/>
        </w:trPr>
        <w:tc>
          <w:tcPr>
            <w:tcW w:w="8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Agreements</w:t>
      </w:r>
    </w:p>
    <w:p>
      <w:pPr>
        <w:spacing w:after="0" w:line="121"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the Company enters into licensing agreements with various parties to obtain the right to make, use, and sell licensed products currently in development.</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Company records estimated losses from loss contingencies, such as a loss arising from a litigation, when it determines that it is probable a liability has been incurred and the amount of loss can be reasonably estimated. Litigation is subject to many factors that are difficult to predict so that there can be no assurance, in the event of a material unfavorable result in one or more claims, the Company will not incur material costs.</w:t>
      </w:r>
    </w:p>
    <w:p>
      <w:pPr>
        <w:spacing w:after="0" w:line="280" w:lineRule="exact"/>
        <w:rPr>
          <w:sz w:val="20"/>
          <w:szCs w:val="20"/>
          <w:color w:val="auto"/>
        </w:rPr>
      </w:pPr>
    </w:p>
    <w:p>
      <w:pPr>
        <w:ind w:right="5460"/>
        <w:spacing w:after="0" w:line="374" w:lineRule="auto"/>
        <w:rPr>
          <w:sz w:val="20"/>
          <w:szCs w:val="20"/>
          <w:color w:val="auto"/>
        </w:rPr>
      </w:pPr>
      <w:r>
        <w:rPr>
          <w:rFonts w:ascii="Times New Roman" w:cs="Times New Roman" w:eastAsia="Times New Roman" w:hAnsi="Times New Roman"/>
          <w:sz w:val="18"/>
          <w:szCs w:val="18"/>
          <w:b w:val="1"/>
          <w:bCs w:val="1"/>
          <w:color w:val="auto"/>
        </w:rPr>
        <w:t xml:space="preserve">7. ACCOUNTS PAYABLE AND CURRENT ACCRUED LIABILITIES </w:t>
      </w:r>
      <w:r>
        <w:rPr>
          <w:rFonts w:ascii="Times New Roman" w:cs="Times New Roman" w:eastAsia="Times New Roman" w:hAnsi="Times New Roman"/>
          <w:sz w:val="18"/>
          <w:szCs w:val="18"/>
          <w:color w:val="auto"/>
        </w:rPr>
        <w:t>Accounts payable and accrued liabilities consist of the following (in thousands):</w:t>
      </w:r>
    </w:p>
    <w:tbl>
      <w:tblPr>
        <w:tblLayout w:type="fixed"/>
        <w:tblInd w:w="0" w:type="dxa"/>
        <w:tblCellMar>
          <w:top w:w="0" w:type="dxa"/>
          <w:left w:w="0" w:type="dxa"/>
          <w:bottom w:w="0" w:type="dxa"/>
          <w:right w:w="0" w:type="dxa"/>
        </w:tblCellMar>
      </w:tblPr>
      <w:tr>
        <w:trPr>
          <w:trHeight w:val="149"/>
        </w:trPr>
        <w:tc>
          <w:tcPr>
            <w:tcW w:w="43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300" w:type="dxa"/>
            <w:vAlign w:val="bottom"/>
          </w:tcPr>
          <w:p>
            <w:pPr>
              <w:jc w:val="right"/>
              <w:ind w:right="2"/>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16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3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30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tcPr>
          <w:p>
            <w:pPr>
              <w:jc w:val="right"/>
              <w:ind w:right="10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340" w:type="dxa"/>
            <w:vAlign w:val="bottom"/>
            <w:gridSpan w:val="2"/>
            <w:shd w:val="clear" w:color="auto" w:fill="CFF0FC"/>
          </w:tcPr>
          <w:p>
            <w:pPr>
              <w:jc w:val="right"/>
              <w:ind w:right="112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860" w:type="dxa"/>
            <w:vAlign w:val="bottom"/>
            <w:gridSpan w:val="2"/>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shd w:val="clear" w:color="auto" w:fill="CFF0FC"/>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0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00" w:type="dxa"/>
            <w:vAlign w:val="bottom"/>
          </w:tcPr>
          <w:p>
            <w:pPr>
              <w:spacing w:after="0"/>
              <w:rPr>
                <w:sz w:val="18"/>
                <w:szCs w:val="18"/>
                <w:color w:val="auto"/>
              </w:rPr>
            </w:pP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restructuring (Note 14)</w:t>
            </w:r>
          </w:p>
        </w:tc>
        <w:tc>
          <w:tcPr>
            <w:tcW w:w="20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FF0FC"/>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4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3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8"/>
                <w:szCs w:val="18"/>
                <w:color w:val="auto"/>
              </w:rPr>
            </w:pPr>
          </w:p>
        </w:tc>
      </w:tr>
      <w:tr>
        <w:trPr>
          <w:trHeight w:val="249"/>
        </w:trPr>
        <w:tc>
          <w:tcPr>
            <w:tcW w:w="4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04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ind w:right="112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2,358</w:t>
            </w:r>
          </w:p>
        </w:tc>
        <w:tc>
          <w:tcPr>
            <w:tcW w:w="3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-24765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-7620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EQUITY</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Each share of common stock entitles the holder to one vote on all matters submitted to a vote of the Company’s stockholders. Common stockholders are not entitled to receive dividends, unless declared by the board of directors.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Warrants</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There was no common stock warrant activity related to common stock warrants issued in conjunction with equity and debt fundraising events for the three months ended March 31, 2025. The following is a summary of the common stock warrants outstanding at March 31, 2025 and December 31, 2024:</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4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1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3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00" w:type="dxa"/>
            <w:vAlign w:val="bottom"/>
          </w:tcPr>
          <w:p>
            <w:pPr>
              <w:spacing w:after="0"/>
              <w:rPr>
                <w:sz w:val="12"/>
                <w:szCs w:val="12"/>
                <w:color w:val="auto"/>
              </w:rPr>
            </w:pPr>
          </w:p>
        </w:tc>
        <w:tc>
          <w:tcPr>
            <w:tcW w:w="182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3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40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of Common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400" w:type="dxa"/>
            <w:vAlign w:val="bottom"/>
          </w:tcPr>
          <w:p>
            <w:pPr>
              <w:spacing w:after="0"/>
              <w:rPr>
                <w:sz w:val="12"/>
                <w:szCs w:val="12"/>
                <w:color w:val="auto"/>
              </w:rPr>
            </w:pPr>
          </w:p>
        </w:tc>
        <w:tc>
          <w:tcPr>
            <w:tcW w:w="182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1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3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400" w:type="dxa"/>
            <w:vAlign w:val="bottom"/>
          </w:tcPr>
          <w:p>
            <w:pPr>
              <w:spacing w:after="0"/>
              <w:rPr>
                <w:sz w:val="12"/>
                <w:szCs w:val="12"/>
                <w:color w:val="auto"/>
              </w:rPr>
            </w:pPr>
          </w:p>
        </w:tc>
        <w:tc>
          <w:tcPr>
            <w:tcW w:w="182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Value (in</w:t>
            </w:r>
          </w:p>
        </w:tc>
        <w:tc>
          <w:tcPr>
            <w:tcW w:w="0" w:type="dxa"/>
            <w:vAlign w:val="bottom"/>
          </w:tcPr>
          <w:p>
            <w:pPr>
              <w:spacing w:after="0"/>
              <w:rPr>
                <w:sz w:val="1"/>
                <w:szCs w:val="1"/>
                <w:color w:val="auto"/>
              </w:rPr>
            </w:pPr>
          </w:p>
        </w:tc>
      </w:tr>
      <w:tr>
        <w:trPr>
          <w:trHeight w:val="173"/>
        </w:trPr>
        <w:tc>
          <w:tcPr>
            <w:tcW w:w="524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center"/>
              <w:ind w:right="322"/>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412,262</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9.81</w:t>
            </w:r>
          </w:p>
        </w:tc>
        <w:tc>
          <w:tcPr>
            <w:tcW w:w="130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2.71</w:t>
            </w:r>
          </w:p>
        </w:tc>
        <w:tc>
          <w:tcPr>
            <w:tcW w:w="400" w:type="dxa"/>
            <w:vAlign w:val="bottom"/>
            <w:tcBorders>
              <w:bottom w:val="single" w:sz="8" w:color="CFF0FC"/>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CFF0FC"/>
            </w:tcBorders>
            <w:gridSpan w:val="2"/>
            <w:shd w:val="clear" w:color="auto" w:fill="CFF0FC"/>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March 31, 2025</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412,262</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9.81</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2.46</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240" w:type="dxa"/>
            <w:vAlign w:val="bottom"/>
          </w:tcPr>
          <w:p>
            <w:pPr>
              <w:spacing w:after="0"/>
              <w:rPr>
                <w:sz w:val="24"/>
                <w:szCs w:val="24"/>
                <w:color w:val="auto"/>
              </w:rPr>
            </w:pPr>
          </w:p>
        </w:tc>
        <w:tc>
          <w:tcPr>
            <w:tcW w:w="1060" w:type="dxa"/>
            <w:vAlign w:val="bottom"/>
          </w:tcPr>
          <w:p>
            <w:pPr>
              <w:jc w:val="right"/>
              <w:ind w:right="50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2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-1079500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2" w:name="page13"/>
    <w:bookmarkEnd w:id="12"/>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STOCK-BASED COMPENSATION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2018 Equity Incentive Plan</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Company’s 2018 Stock Incentive Plan (the “2018 Plan”) provided for the Company to grant qualified incentive options, nonqualified options, stock grants and other stock-based awards to employees and non-employees to purchase the Company’s common stock. Upon the effectiveness of the 2021 Plan (as defined below), the Company ceased issuing new awards under the 2018 Plan.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Equity Incentive Plan</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Company’s 2021 Equity Incentive Plan (the “2021 Plan”) became effective in February 2021. The 2021 Plan provides for the grant of incentive stock options to employees, including employees of any parent or subsidiary corporations, and for the grant of nonstatutory stock options, stock appreciation rights, restricted stock awards, restricted stock unit awards, performance awards and other forms of stock awards to employees, directors, and consultants, including employees and consultants of the Company’s affiliates. The number of shares initially reserved for issuance under the 2021 Plan was 5,000,000, which began automatically increasing on January 1 of each calendar year, starting on January 1, 2022 through January 1, 2031, in an amount equal to 4.0% of the total number of shares of the Company’s capital stock outstanding on the last day of the calendar month before the date of each automatic increase, or a lesser number of shares determined by the board of directors. As of March 31, 2025, 1,354,594 shares remained available for issuance pursuant to the 2021 Plan.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Employee Stock Purchase Plan</w:t>
      </w:r>
    </w:p>
    <w:p>
      <w:pPr>
        <w:spacing w:after="0" w:line="121" w:lineRule="exact"/>
        <w:rPr>
          <w:sz w:val="20"/>
          <w:szCs w:val="20"/>
          <w:color w:val="auto"/>
        </w:rPr>
      </w:pPr>
    </w:p>
    <w:p>
      <w:pPr>
        <w:jc w:val="both"/>
        <w:ind w:right="200" w:firstLine="509"/>
        <w:spacing w:after="0" w:line="257" w:lineRule="auto"/>
        <w:rPr>
          <w:sz w:val="20"/>
          <w:szCs w:val="20"/>
          <w:color w:val="auto"/>
        </w:rPr>
      </w:pPr>
      <w:r>
        <w:rPr>
          <w:rFonts w:ascii="Times New Roman" w:cs="Times New Roman" w:eastAsia="Times New Roman" w:hAnsi="Times New Roman"/>
          <w:sz w:val="18"/>
          <w:szCs w:val="18"/>
          <w:color w:val="auto"/>
        </w:rPr>
        <w:t>The 2021 Employee Stock Purchase Plan (the “2021 ESPP”) became effective in February 2021. A total of 333,333 shares of common stock were initially reserved for issuance under the 2021 ESPP, which will automatically increase on January 1 of each calendar year, beginning on January 1, 2022 through January 1, 2031, by an amount equal to 1.0% of the total shares of common stock outstanding on December 31st of the preceding calendar year.</w:t>
      </w:r>
    </w:p>
    <w:p>
      <w:pPr>
        <w:spacing w:after="0" w:line="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purchase price of the shares under the 2021 ESPP are at 85% of the lower of the fair market value of the Company’s common stock on the first trading day of the offering period or on the purchase date. As of March 31, 2025, the Company had issued 225,011 shares under the 2021 ESPP, and 1,224,159 shares were available to be issued under the same plan.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Company has granted options to purchase shares of common stock to employees pursuant to the 2021 Plan at a weighted average grant date fair value of $0.37 per share during the three months ended March 31, 2025. The Company uses the Black-Scholes option-pricing model to estimate the fair value of the stock options on the applicable grant dates.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summary of the stock option award activity during the three months ended March 31, 2025:</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restart"/>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42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420" w:type="dxa"/>
            <w:vAlign w:val="bottom"/>
            <w:gridSpan w:val="2"/>
          </w:tcPr>
          <w:p>
            <w:pPr>
              <w:jc w:val="right"/>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160" w:type="dxa"/>
            <w:vAlign w:val="bottom"/>
          </w:tcPr>
          <w:p>
            <w:pPr>
              <w:spacing w:after="0"/>
              <w:rPr>
                <w:sz w:val="12"/>
                <w:szCs w:val="12"/>
                <w:color w:val="auto"/>
              </w:rPr>
            </w:pPr>
          </w:p>
        </w:tc>
        <w:tc>
          <w:tcPr>
            <w:tcW w:w="94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3"/>
        </w:trPr>
        <w:tc>
          <w:tcPr>
            <w:tcW w:w="5820" w:type="dxa"/>
            <w:vAlign w:val="bottom"/>
          </w:tcPr>
          <w:p>
            <w:pPr>
              <w:spacing w:after="0"/>
              <w:rPr>
                <w:sz w:val="15"/>
                <w:szCs w:val="15"/>
                <w:color w:val="auto"/>
              </w:rPr>
            </w:pPr>
          </w:p>
        </w:tc>
        <w:tc>
          <w:tcPr>
            <w:tcW w:w="120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5,295,812</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4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34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849,500</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(11,984)</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Expired</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(1,354)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8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Outstanding at March 31, 2025</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6,131,974</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4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34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5820" w:type="dxa"/>
            <w:vAlign w:val="bottom"/>
          </w:tcPr>
          <w:p>
            <w:pPr>
              <w:ind w:left="420"/>
              <w:spacing w:after="0" w:line="196" w:lineRule="exact"/>
              <w:rPr>
                <w:sz w:val="20"/>
                <w:szCs w:val="20"/>
                <w:color w:val="auto"/>
              </w:rPr>
            </w:pPr>
            <w:r>
              <w:rPr>
                <w:rFonts w:ascii="Times New Roman" w:cs="Times New Roman" w:eastAsia="Times New Roman" w:hAnsi="Times New Roman"/>
                <w:sz w:val="18"/>
                <w:szCs w:val="18"/>
                <w:color w:val="auto"/>
              </w:rPr>
              <w:t>Vested or expected to vest as of as of March 31, 2025</w:t>
            </w: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6,131,974</w:t>
            </w:r>
          </w:p>
        </w:tc>
        <w:tc>
          <w:tcPr>
            <w:tcW w:w="22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4.21</w:t>
            </w:r>
          </w:p>
        </w:tc>
        <w:tc>
          <w:tcPr>
            <w:tcW w:w="14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7.36</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820" w:type="dxa"/>
            <w:vAlign w:val="bottom"/>
            <w:tcBorders>
              <w:bottom w:val="single" w:sz="8" w:color="CFF0FC"/>
            </w:tcBorders>
            <w:shd w:val="clear" w:color="auto" w:fill="CFF0FC"/>
          </w:tcPr>
          <w:p>
            <w:pPr>
              <w:ind w:left="120"/>
              <w:spacing w:after="0" w:line="196" w:lineRule="exact"/>
              <w:rPr>
                <w:sz w:val="20"/>
                <w:szCs w:val="20"/>
                <w:color w:val="auto"/>
              </w:rPr>
            </w:pPr>
            <w:r>
              <w:rPr>
                <w:rFonts w:ascii="Times New Roman" w:cs="Times New Roman" w:eastAsia="Times New Roman" w:hAnsi="Times New Roman"/>
                <w:sz w:val="18"/>
                <w:szCs w:val="18"/>
                <w:color w:val="auto"/>
              </w:rPr>
              <w:t>Exercisable at March 31, 2025</w:t>
            </w: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3,336,286</w:t>
            </w:r>
          </w:p>
        </w:tc>
        <w:tc>
          <w:tcPr>
            <w:tcW w:w="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7.16</w:t>
            </w:r>
          </w:p>
        </w:tc>
        <w:tc>
          <w:tcPr>
            <w:tcW w:w="142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5.65</w:t>
            </w:r>
          </w:p>
        </w:tc>
        <w:tc>
          <w:tcPr>
            <w:tcW w:w="340" w:type="dxa"/>
            <w:vAlign w:val="bottom"/>
            <w:tcBorders>
              <w:bottom w:val="single" w:sz="8" w:color="CFF0FC"/>
            </w:tcBorders>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FF0FC"/>
            </w:tcBorders>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-916305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-351155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-333375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-24765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-7620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aggregate intrinsic value of the outstanding stock option awards is calculated as the difference between the exercise price and the market price of the Company’s common stock at March 31, 2025. There were no stock options exercised in the three months ended March 31, 2025.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ind w:left="520"/>
        <w:spacing w:after="0"/>
        <w:rPr>
          <w:sz w:val="20"/>
          <w:szCs w:val="20"/>
          <w:color w:val="auto"/>
        </w:rPr>
      </w:pPr>
      <w:r>
        <w:rPr>
          <w:rFonts w:ascii="Times New Roman" w:cs="Times New Roman" w:eastAsia="Times New Roman" w:hAnsi="Times New Roman"/>
          <w:sz w:val="18"/>
          <w:szCs w:val="18"/>
          <w:color w:val="auto"/>
        </w:rPr>
        <w:t>The grant date fair value of options vested during the three months ended March 31, 2025 and 2024 was $0.6 million and $1.2 million, respectively.</w:t>
      </w:r>
    </w:p>
    <w:p>
      <w:pPr>
        <w:spacing w:after="0" w:line="225"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At March 31, 2025, there was $1.3 million of unrecognized stock-based compensation expense associated with the stock options, which is expected to be recognized over a weighted-average period of 2.23 years.</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granted restricted stock units with service-based vesting conditions.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summary of the restricted stock unit activity during the three months ended March 31, 2025:</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8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768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73"/>
        </w:trPr>
        <w:tc>
          <w:tcPr>
            <w:tcW w:w="7680" w:type="dxa"/>
            <w:vAlign w:val="bottom"/>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December 31, 2024</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83,441</w:t>
            </w:r>
          </w:p>
        </w:tc>
        <w:tc>
          <w:tcPr>
            <w:tcW w:w="1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CFF0FC"/>
            </w:tcBorders>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10"/>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(35,319)</w:t>
            </w:r>
          </w:p>
        </w:tc>
        <w:tc>
          <w:tcPr>
            <w:tcW w:w="38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(1,512)</w:t>
            </w:r>
          </w:p>
        </w:tc>
        <w:tc>
          <w:tcPr>
            <w:tcW w:w="38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09"/>
        </w:trPr>
        <w:tc>
          <w:tcPr>
            <w:tcW w:w="76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Unvested at March 31, 2025</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46,610</w:t>
            </w:r>
          </w:p>
        </w:tc>
        <w:tc>
          <w:tcPr>
            <w:tcW w:w="180" w:type="dxa"/>
            <w:vAlign w:val="bottom"/>
            <w:tcBorders>
              <w:top w:val="single" w:sz="8" w:color="CFF0FC"/>
            </w:tcBorders>
          </w:tcPr>
          <w:p>
            <w:pPr>
              <w:spacing w:after="0"/>
              <w:rPr>
                <w:sz w:val="18"/>
                <w:szCs w:val="18"/>
                <w:color w:val="auto"/>
              </w:rPr>
            </w:pPr>
          </w:p>
        </w:tc>
        <w:tc>
          <w:tcPr>
            <w:tcW w:w="380" w:type="dxa"/>
            <w:vAlign w:val="bottom"/>
            <w:tcBorders>
              <w:top w:val="single" w:sz="8" w:color="CFF0FC"/>
            </w:tcBorders>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CFF0FC"/>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-454025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-170815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260" w:right="320" w:firstLine="509"/>
        <w:spacing w:after="0" w:line="282" w:lineRule="auto"/>
        <w:rPr>
          <w:sz w:val="20"/>
          <w:szCs w:val="20"/>
          <w:color w:val="auto"/>
        </w:rPr>
      </w:pPr>
      <w:r>
        <w:rPr>
          <w:rFonts w:ascii="Times New Roman" w:cs="Times New Roman" w:eastAsia="Times New Roman" w:hAnsi="Times New Roman"/>
          <w:sz w:val="18"/>
          <w:szCs w:val="18"/>
          <w:color w:val="auto"/>
        </w:rPr>
        <w:t>Pursuant to the 2021 Plan, the Company has historically granted restricted stock units which vest annually over a period of one, two, three or four years. The Company granted no restricted stock units during the three months ended March 31, 2025.</w:t>
      </w:r>
    </w:p>
    <w:p>
      <w:pPr>
        <w:spacing w:after="0" w:line="54" w:lineRule="exact"/>
        <w:rPr>
          <w:sz w:val="20"/>
          <w:szCs w:val="20"/>
          <w:color w:val="auto"/>
        </w:rPr>
      </w:pPr>
    </w:p>
    <w:p>
      <w:pPr>
        <w:ind w:left="260" w:right="420" w:firstLine="509"/>
        <w:spacing w:after="0" w:line="282" w:lineRule="auto"/>
        <w:rPr>
          <w:sz w:val="20"/>
          <w:szCs w:val="20"/>
          <w:color w:val="auto"/>
        </w:rPr>
      </w:pPr>
      <w:r>
        <w:rPr>
          <w:rFonts w:ascii="Times New Roman" w:cs="Times New Roman" w:eastAsia="Times New Roman" w:hAnsi="Times New Roman"/>
          <w:sz w:val="18"/>
          <w:szCs w:val="18"/>
          <w:color w:val="auto"/>
        </w:rPr>
        <w:t>At March 31, 2025, there was approximately $0.1 million of unrecognized stock-based compensation expense associated with the restricted stock units which is expected to be recognized over a weighted-average period of 1.24 years.</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Common Stock Warrants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summary of the common stock warrant activity during the three months ended March 31, 2025:</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15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3"/>
                <w:szCs w:val="13"/>
                <w:color w:val="auto"/>
              </w:rPr>
            </w:pPr>
          </w:p>
        </w:tc>
        <w:tc>
          <w:tcPr>
            <w:tcW w:w="12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60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1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20" w:type="dxa"/>
            <w:vAlign w:val="bottom"/>
          </w:tcPr>
          <w:p>
            <w:pPr>
              <w:spacing w:after="0"/>
              <w:rPr>
                <w:sz w:val="12"/>
                <w:szCs w:val="12"/>
                <w:color w:val="auto"/>
              </w:rPr>
            </w:pPr>
          </w:p>
        </w:tc>
        <w:tc>
          <w:tcPr>
            <w:tcW w:w="15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of Common</w:t>
            </w:r>
          </w:p>
        </w:tc>
        <w:tc>
          <w:tcPr>
            <w:tcW w:w="160" w:type="dxa"/>
            <w:vAlign w:val="bottom"/>
          </w:tcPr>
          <w:p>
            <w:pPr>
              <w:spacing w:after="0"/>
              <w:rPr>
                <w:sz w:val="12"/>
                <w:szCs w:val="12"/>
                <w:color w:val="auto"/>
              </w:rPr>
            </w:pPr>
          </w:p>
        </w:tc>
        <w:tc>
          <w:tcPr>
            <w:tcW w:w="12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6020" w:type="dxa"/>
            <w:vAlign w:val="bottom"/>
          </w:tcPr>
          <w:p>
            <w:pPr>
              <w:spacing w:after="0"/>
              <w:rPr>
                <w:sz w:val="12"/>
                <w:szCs w:val="12"/>
                <w:color w:val="auto"/>
              </w:rPr>
            </w:pPr>
          </w:p>
        </w:tc>
        <w:tc>
          <w:tcPr>
            <w:tcW w:w="15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2"/>
                <w:szCs w:val="12"/>
                <w:color w:val="auto"/>
              </w:rPr>
            </w:pPr>
          </w:p>
        </w:tc>
        <w:tc>
          <w:tcPr>
            <w:tcW w:w="12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1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Value (in</w:t>
            </w:r>
          </w:p>
        </w:tc>
        <w:tc>
          <w:tcPr>
            <w:tcW w:w="0" w:type="dxa"/>
            <w:vAlign w:val="bottom"/>
          </w:tcPr>
          <w:p>
            <w:pPr>
              <w:spacing w:after="0"/>
              <w:rPr>
                <w:sz w:val="1"/>
                <w:szCs w:val="1"/>
                <w:color w:val="auto"/>
              </w:rPr>
            </w:pPr>
          </w:p>
        </w:tc>
      </w:tr>
      <w:tr>
        <w:trPr>
          <w:trHeight w:val="149"/>
        </w:trPr>
        <w:tc>
          <w:tcPr>
            <w:tcW w:w="6020" w:type="dxa"/>
            <w:vAlign w:val="bottom"/>
          </w:tcPr>
          <w:p>
            <w:pPr>
              <w:spacing w:after="0"/>
              <w:rPr>
                <w:sz w:val="12"/>
                <w:szCs w:val="12"/>
                <w:color w:val="auto"/>
              </w:rPr>
            </w:pPr>
          </w:p>
        </w:tc>
        <w:tc>
          <w:tcPr>
            <w:tcW w:w="15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Warrants</w:t>
            </w:r>
          </w:p>
        </w:tc>
        <w:tc>
          <w:tcPr>
            <w:tcW w:w="160" w:type="dxa"/>
            <w:vAlign w:val="bottom"/>
          </w:tcPr>
          <w:p>
            <w:pPr>
              <w:spacing w:after="0"/>
              <w:rPr>
                <w:sz w:val="12"/>
                <w:szCs w:val="12"/>
                <w:color w:val="auto"/>
              </w:rPr>
            </w:pPr>
          </w:p>
        </w:tc>
        <w:tc>
          <w:tcPr>
            <w:tcW w:w="12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1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173"/>
        </w:trPr>
        <w:tc>
          <w:tcPr>
            <w:tcW w:w="6020" w:type="dxa"/>
            <w:vAlign w:val="bottom"/>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and exercisable at December 31, 2024</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4,610</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11.04</w:t>
            </w:r>
          </w:p>
        </w:tc>
        <w:tc>
          <w:tcPr>
            <w:tcW w:w="118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3.00</w:t>
            </w:r>
          </w:p>
        </w:tc>
        <w:tc>
          <w:tcPr>
            <w:tcW w:w="24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FF0FC"/>
            </w:tcBorders>
            <w:gridSpan w:val="2"/>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and exercisable at March 31, 2025</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4,610</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11.04</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2.75</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-170815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31, 2025 there was no unrecognized stock-based compensation expense associated with the common stock warrants.</w:t>
      </w:r>
    </w:p>
    <w:p>
      <w:pPr>
        <w:spacing w:after="0" w:line="117"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and 2024, respectively, the Company utilized the Black-Scholes option-pricing model for estimating the fair value of the stock options and common stock warrants granted. The following table presents the assumptions and the Company’s methodology for developing each of the assumptions used:</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40" w:type="dxa"/>
            <w:vAlign w:val="bottom"/>
          </w:tcPr>
          <w:p>
            <w:pPr>
              <w:spacing w:after="0"/>
              <w:rPr>
                <w:sz w:val="15"/>
                <w:szCs w:val="15"/>
                <w:color w:val="auto"/>
              </w:rPr>
            </w:pPr>
          </w:p>
        </w:tc>
        <w:tc>
          <w:tcPr>
            <w:tcW w:w="5300" w:type="dxa"/>
            <w:vAlign w:val="bottom"/>
            <w:tcBorders>
              <w:bottom w:val="single" w:sz="8" w:color="auto"/>
            </w:tcBorders>
            <w:gridSpan w:val="3"/>
          </w:tcPr>
          <w:p>
            <w:pPr>
              <w:ind w:left="14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142"/>
        </w:trPr>
        <w:tc>
          <w:tcPr>
            <w:tcW w:w="5940" w:type="dxa"/>
            <w:vAlign w:val="bottom"/>
          </w:tcPr>
          <w:p>
            <w:pPr>
              <w:spacing w:after="0"/>
              <w:rPr>
                <w:sz w:val="12"/>
                <w:szCs w:val="12"/>
                <w:color w:val="auto"/>
              </w:rPr>
            </w:pPr>
          </w:p>
        </w:tc>
        <w:tc>
          <w:tcPr>
            <w:tcW w:w="27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320" w:type="dxa"/>
            <w:vAlign w:val="bottom"/>
          </w:tcPr>
          <w:p>
            <w:pPr>
              <w:spacing w:after="0"/>
              <w:rPr>
                <w:sz w:val="12"/>
                <w:szCs w:val="12"/>
                <w:color w:val="auto"/>
              </w:rPr>
            </w:pPr>
          </w:p>
        </w:tc>
        <w:tc>
          <w:tcPr>
            <w:tcW w:w="22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Volatility</w:t>
            </w:r>
          </w:p>
        </w:tc>
        <w:tc>
          <w:tcPr>
            <w:tcW w:w="2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94%</w:t>
            </w:r>
          </w:p>
        </w:tc>
        <w:tc>
          <w:tcPr>
            <w:tcW w:w="2540" w:type="dxa"/>
            <w:vAlign w:val="bottom"/>
            <w:gridSpan w:val="2"/>
            <w:shd w:val="clear" w:color="auto" w:fill="CFF0FC"/>
          </w:tcPr>
          <w:p>
            <w:pPr>
              <w:jc w:val="center"/>
              <w:ind w:left="210"/>
              <w:spacing w:after="0"/>
              <w:rPr>
                <w:sz w:val="20"/>
                <w:szCs w:val="20"/>
                <w:color w:val="auto"/>
              </w:rPr>
            </w:pPr>
            <w:r>
              <w:rPr>
                <w:rFonts w:ascii="Times New Roman" w:cs="Times New Roman" w:eastAsia="Times New Roman" w:hAnsi="Times New Roman"/>
                <w:sz w:val="18"/>
                <w:szCs w:val="18"/>
                <w:color w:val="auto"/>
                <w:w w:val="99"/>
              </w:rPr>
              <w:t>91%-93%</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6.0</w:t>
            </w:r>
          </w:p>
        </w:tc>
        <w:tc>
          <w:tcPr>
            <w:tcW w:w="254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7"/>
              </w:rPr>
              <w:t>5.0-6.0</w:t>
            </w:r>
          </w:p>
        </w:tc>
      </w:tr>
      <w:tr>
        <w:trPr>
          <w:trHeight w:val="216"/>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4.4%</w:t>
            </w:r>
          </w:p>
        </w:tc>
        <w:tc>
          <w:tcPr>
            <w:tcW w:w="320" w:type="dxa"/>
            <w:vAlign w:val="bottom"/>
            <w:shd w:val="clear" w:color="auto" w:fill="CFF0FC"/>
          </w:tcPr>
          <w:p>
            <w:pPr>
              <w:spacing w:after="0"/>
              <w:rPr>
                <w:sz w:val="18"/>
                <w:szCs w:val="18"/>
                <w:color w:val="auto"/>
              </w:rPr>
            </w:pPr>
          </w:p>
        </w:tc>
        <w:tc>
          <w:tcPr>
            <w:tcW w:w="22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3.9%–4.2%</w:t>
            </w:r>
          </w:p>
        </w:tc>
      </w:t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320" w:type="dxa"/>
            <w:vAlign w:val="bottom"/>
          </w:tcPr>
          <w:p>
            <w:pPr>
              <w:spacing w:after="0"/>
              <w:rPr>
                <w:sz w:val="20"/>
                <w:szCs w:val="20"/>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bl>
    <w:p>
      <w:pPr>
        <w:spacing w:after="0" w:line="314" w:lineRule="exact"/>
        <w:rPr>
          <w:sz w:val="20"/>
          <w:szCs w:val="20"/>
          <w:color w:val="auto"/>
        </w:rPr>
      </w:pPr>
    </w:p>
    <w:p>
      <w:pPr>
        <w:ind w:left="1040" w:right="40" w:hanging="523"/>
        <w:spacing w:after="0" w:line="266"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Volatility—The Company lacks sufficient Company-specific historical and implied volatility information. Therefore, it estimates its expected stock volatility based on the historical volatility of a publicly traded set of peer companies in addition to its own historical volatility and will continue to do so until it has adequate historical data regarding the volatility of its own traded stock price.</w:t>
      </w:r>
    </w:p>
    <w:p>
      <w:pPr>
        <w:spacing w:after="0" w:line="6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term—The Company calculates the expected term of options using the simplified method, as the Company lacks relevant historical data due to the Company’s limited operating experience.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4" w:name="page15"/>
    <w:bookmarkEnd w:id="14"/>
    <w:p>
      <w:pPr>
        <w:ind w:left="1020" w:right="4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rate—The risk-free rate for periods within the estimated life of the stock award is based on the U.S. Treasury yield curve in effect at the time of grant.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rate—The assumed dividend yield is based upon the Company’s expectation of not paying dividends in the foreseeable future.</w:t>
      </w:r>
    </w:p>
    <w:p>
      <w:pPr>
        <w:spacing w:after="0" w:line="225"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Stock-based compensation expense was recorded in the following line items in the condensed consolidated statements of operations for the three months ended March 31, 2025 and 2024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840" w:type="dxa"/>
            <w:vAlign w:val="bottom"/>
            <w:tcBorders>
              <w:bottom w:val="single" w:sz="8" w:color="auto"/>
            </w:tcBorders>
            <w:gridSpan w:val="5"/>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3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8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0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500" w:type="dxa"/>
            <w:vAlign w:val="bottom"/>
            <w:gridSpan w:val="2"/>
            <w:shd w:val="clear" w:color="auto" w:fill="CFF0FC"/>
          </w:tcPr>
          <w:p>
            <w:pPr>
              <w:jc w:val="right"/>
              <w:ind w:right="92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126</w:t>
            </w:r>
          </w:p>
        </w:tc>
        <w:tc>
          <w:tcPr>
            <w:tcW w:w="1180" w:type="dxa"/>
            <w:vAlign w:val="bottom"/>
            <w:gridSpan w:val="2"/>
            <w:shd w:val="clear" w:color="auto" w:fill="CFF0FC"/>
          </w:tcPr>
          <w:p>
            <w:pPr>
              <w:jc w:val="right"/>
              <w:ind w:right="88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339</w:t>
            </w: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335</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877</w:t>
            </w:r>
          </w:p>
        </w:tc>
      </w:tr>
      <w:tr>
        <w:trPr>
          <w:trHeight w:val="20"/>
        </w:trPr>
        <w:tc>
          <w:tcPr>
            <w:tcW w:w="53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500" w:type="dxa"/>
            <w:vAlign w:val="bottom"/>
            <w:gridSpan w:val="2"/>
            <w:shd w:val="clear" w:color="auto" w:fill="CFF0FC"/>
          </w:tcPr>
          <w:p>
            <w:pPr>
              <w:jc w:val="right"/>
              <w:ind w:right="92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461</w:t>
            </w:r>
          </w:p>
        </w:tc>
        <w:tc>
          <w:tcPr>
            <w:tcW w:w="1180" w:type="dxa"/>
            <w:vAlign w:val="bottom"/>
            <w:gridSpan w:val="2"/>
            <w:shd w:val="clear" w:color="auto" w:fill="CFF0FC"/>
          </w:tcPr>
          <w:p>
            <w:pPr>
              <w:jc w:val="right"/>
              <w:ind w:right="88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1,216</w:t>
            </w:r>
          </w:p>
        </w:tc>
      </w:tr>
      <w:tr>
        <w:trPr>
          <w:trHeight w:val="20"/>
        </w:trPr>
        <w:tc>
          <w:tcPr>
            <w:tcW w:w="5360" w:type="dxa"/>
            <w:vAlign w:val="bottom"/>
            <w:tcBorders>
              <w:top w:val="single" w:sz="8" w:color="CFF0FC"/>
            </w:tcBorders>
            <w:shd w:val="clear" w:color="auto" w:fill="CFF0FC"/>
          </w:tcPr>
          <w:p>
            <w:pPr>
              <w:spacing w:after="0" w:line="20" w:lineRule="exact"/>
              <w:rPr>
                <w:sz w:val="1"/>
                <w:szCs w:val="1"/>
                <w:color w:val="auto"/>
              </w:rPr>
            </w:pPr>
          </w:p>
        </w:tc>
        <w:tc>
          <w:tcPr>
            <w:tcW w:w="242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EMPLOYEE RETIREMENT PLAN</w:t>
      </w:r>
    </w:p>
    <w:p>
      <w:pPr>
        <w:spacing w:after="0" w:line="121"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The Company maintains a defined contribution 401(k) profit-sharing plan (the “Plan”) for all employees. Under the Plan, participants may make voluntary contributions up to the maximum amount allowable by law. The Plan is based on employees’ salary deferral, and the Company matches employees’ contributions up to 4% of the employees’ base salary. Employees are 100% vested in the Company’s match contributions. During the three months ended March 31, 2025 and 2024, the Company’s matching contributions were $58 thousand and $82 thousand,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COMPENSATION AND EMPLOYEE BENEFITS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and employee benefits consist of the following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tcPr>
          <w:p>
            <w:pPr>
              <w:spacing w:after="0"/>
              <w:rPr>
                <w:sz w:val="13"/>
                <w:szCs w:val="13"/>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280" w:type="dxa"/>
            <w:vAlign w:val="bottom"/>
          </w:tcPr>
          <w:p>
            <w:pPr>
              <w:spacing w:after="0"/>
              <w:rPr>
                <w:sz w:val="15"/>
                <w:szCs w:val="15"/>
                <w:color w:val="auto"/>
              </w:rPr>
            </w:pPr>
          </w:p>
        </w:tc>
        <w:tc>
          <w:tcPr>
            <w:tcW w:w="11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incentive compensation</w:t>
            </w:r>
          </w:p>
        </w:tc>
        <w:tc>
          <w:tcPr>
            <w:tcW w:w="1180" w:type="dxa"/>
            <w:vAlign w:val="bottom"/>
            <w:shd w:val="clear" w:color="auto" w:fill="CFF0FC"/>
          </w:tcPr>
          <w:p>
            <w:pPr>
              <w:jc w:val="right"/>
              <w:ind w:right="99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6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100" w:type="dxa"/>
            <w:vAlign w:val="bottom"/>
            <w:shd w:val="clear" w:color="auto" w:fill="CFF0FC"/>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Accrued restructuring - compensation (Note 14)</w:t>
            </w:r>
          </w:p>
        </w:tc>
        <w:tc>
          <w:tcPr>
            <w:tcW w:w="11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Pr>
          <w:p>
            <w:pPr>
              <w:spacing w:after="0"/>
              <w:rPr>
                <w:sz w:val="18"/>
                <w:szCs w:val="18"/>
                <w:color w:val="auto"/>
              </w:rPr>
            </w:pPr>
          </w:p>
        </w:tc>
      </w:tr>
      <w:tr>
        <w:trPr>
          <w:trHeight w:val="216"/>
        </w:trPr>
        <w:tc>
          <w:tcPr>
            <w:tcW w:w="7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compensation related liabilities</w:t>
            </w:r>
          </w:p>
        </w:tc>
        <w:tc>
          <w:tcPr>
            <w:tcW w:w="1180" w:type="dxa"/>
            <w:vAlign w:val="bottom"/>
            <w:tcBorders>
              <w:bottom w:val="single" w:sz="8" w:color="auto"/>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3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tcPr>
          <w:p>
            <w:pPr>
              <w:jc w:val="right"/>
              <w:ind w:right="99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100" w:type="dxa"/>
            <w:vAlign w:val="bottom"/>
          </w:tcPr>
          <w:p>
            <w:pPr>
              <w:spacing w:after="0"/>
              <w:rPr>
                <w:sz w:val="18"/>
                <w:szCs w:val="18"/>
                <w:color w:val="auto"/>
              </w:rPr>
            </w:pPr>
          </w:p>
        </w:tc>
      </w:tr>
      <w:tr>
        <w:trPr>
          <w:trHeight w:val="20"/>
        </w:trPr>
        <w:tc>
          <w:tcPr>
            <w:tcW w:w="72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-170815</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recorded no provision for income taxes for the three months ended March 31, 2025 and 2024.</w:t>
      </w:r>
    </w:p>
    <w:p>
      <w:pPr>
        <w:spacing w:after="0" w:line="225"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Deferred tax assets and deferred tax liabilities are recognized based on temporary differences between the financial reporting and tax bases of assets and liabilities using statutory rates. Management of the Company has evaluated the positive and negative evidence bearing upon the realizability of its deferred tax assets, which are comprised principally of net operating loss carryforwards, equity-based compensation, research and development tax credit carryforwards, and capitalized research and development expenditures. Under the applicable accounting standards, management has considered the Company’s history of losses and concluded that it is more likely than not that the Company will not recognize the benefits of federal and state deferred tax assets. Accordingly, a full valuation allowance has been established against the Company’s otherwise recognizable net deferred tax assets.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NET LOSS PER SHARE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is calculated as follows (in thousands, except share and per share amounts):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40" w:type="dxa"/>
            <w:vAlign w:val="bottom"/>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7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54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(6,864)</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(7,992)</w:t>
            </w:r>
          </w:p>
        </w:tc>
      </w:tr>
      <w:tr>
        <w:trPr>
          <w:trHeight w:val="20"/>
        </w:trPr>
        <w:tc>
          <w:tcPr>
            <w:tcW w:w="7200" w:type="dxa"/>
            <w:vAlign w:val="bottom"/>
            <w:shd w:val="clear" w:color="auto" w:fill="CFF0FC"/>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share—basic and diluted</w:t>
            </w:r>
          </w:p>
        </w:tc>
        <w:tc>
          <w:tcPr>
            <w:tcW w:w="54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(0.27)</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(0.32)</w:t>
            </w:r>
          </w:p>
        </w:tc>
      </w:tr>
      <w:tr>
        <w:trPr>
          <w:trHeight w:val="20"/>
        </w:trPr>
        <w:tc>
          <w:tcPr>
            <w:tcW w:w="7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2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Weighted-average number of shares used in computing net loss per share—basic and diluted</w:t>
            </w:r>
          </w:p>
        </w:tc>
        <w:tc>
          <w:tcPr>
            <w:tcW w:w="5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25,192,363</w:t>
            </w: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25,049,111</w:t>
            </w:r>
          </w:p>
        </w:tc>
      </w:tr>
      <w:tr>
        <w:trPr>
          <w:trHeight w:val="628"/>
        </w:trPr>
        <w:tc>
          <w:tcPr>
            <w:tcW w:w="7200" w:type="dxa"/>
            <w:vAlign w:val="bottom"/>
            <w:tcBorders>
              <w:top w:val="single" w:sz="8" w:color="CFF0FC"/>
            </w:tcBorders>
          </w:tcPr>
          <w:p>
            <w:pPr>
              <w:jc w:val="right"/>
              <w:ind w:right="1390"/>
              <w:spacing w:after="0"/>
              <w:rPr>
                <w:sz w:val="20"/>
                <w:szCs w:val="20"/>
                <w:color w:val="auto"/>
              </w:rPr>
            </w:pPr>
            <w:r>
              <w:rPr>
                <w:rFonts w:ascii="Times New Roman" w:cs="Times New Roman" w:eastAsia="Times New Roman" w:hAnsi="Times New Roman"/>
                <w:sz w:val="18"/>
                <w:szCs w:val="18"/>
                <w:color w:val="auto"/>
              </w:rPr>
              <w:t>13</w:t>
            </w:r>
          </w:p>
        </w:tc>
        <w:tc>
          <w:tcPr>
            <w:tcW w:w="54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72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-1242695</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-1242695</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-933450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-916305</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 w:name="page16"/>
    <w:bookmarkEnd w:id="15"/>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following outstanding potentially dilutive securities have been excluded from the calculation of diluted net loss per share, as their effect is anti-dilutive: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00" w:type="dxa"/>
            <w:vAlign w:val="bottom"/>
          </w:tcPr>
          <w:p>
            <w:pPr>
              <w:spacing w:after="0"/>
              <w:rPr>
                <w:sz w:val="15"/>
                <w:szCs w:val="15"/>
                <w:color w:val="auto"/>
              </w:rPr>
            </w:pPr>
          </w:p>
        </w:tc>
        <w:tc>
          <w:tcPr>
            <w:tcW w:w="3640" w:type="dxa"/>
            <w:vAlign w:val="bottom"/>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142"/>
        </w:trPr>
        <w:tc>
          <w:tcPr>
            <w:tcW w:w="7600" w:type="dxa"/>
            <w:vAlign w:val="bottom"/>
          </w:tcPr>
          <w:p>
            <w:pPr>
              <w:spacing w:after="0"/>
              <w:rPr>
                <w:sz w:val="12"/>
                <w:szCs w:val="12"/>
                <w:color w:val="auto"/>
              </w:rPr>
            </w:pPr>
          </w:p>
        </w:tc>
        <w:tc>
          <w:tcPr>
            <w:tcW w:w="1660" w:type="dxa"/>
            <w:vAlign w:val="bottom"/>
            <w:tcBorders>
              <w:top w:val="single" w:sz="8" w:color="auto"/>
              <w:bottom w:val="single" w:sz="8" w:color="auto"/>
            </w:tcBorders>
          </w:tcPr>
          <w:p>
            <w:pPr>
              <w:jc w:val="right"/>
              <w:ind w:right="59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1640" w:type="dxa"/>
            <w:vAlign w:val="bottom"/>
            <w:tcBorders>
              <w:top w:val="single" w:sz="8" w:color="auto"/>
              <w:bottom w:val="single" w:sz="8" w:color="auto"/>
            </w:tcBorders>
          </w:tcPr>
          <w:p>
            <w:pPr>
              <w:jc w:val="right"/>
              <w:ind w:right="5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to purchase common stock</w:t>
            </w:r>
          </w:p>
        </w:tc>
        <w:tc>
          <w:tcPr>
            <w:tcW w:w="1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6,131,974</w:t>
            </w:r>
          </w:p>
        </w:tc>
        <w:tc>
          <w:tcPr>
            <w:tcW w:w="1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4,815,364</w:t>
            </w: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1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46,610</w:t>
            </w: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161,961</w:t>
            </w: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Warrants issued to employees and contractor to purchase common stock</w:t>
            </w:r>
          </w:p>
        </w:tc>
        <w:tc>
          <w:tcPr>
            <w:tcW w:w="1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4,610</w:t>
            </w:r>
          </w:p>
        </w:tc>
        <w:tc>
          <w:tcPr>
            <w:tcW w:w="1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56,692</w:t>
            </w:r>
          </w:p>
        </w:tc>
      </w:tr>
      <w:tr>
        <w:trPr>
          <w:trHeight w:val="234"/>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Warrants issued related to convertible notes and other equity agreements</w:t>
            </w:r>
          </w:p>
        </w:tc>
        <w:tc>
          <w:tcPr>
            <w:tcW w:w="1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412,262</w:t>
            </w: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412,262</w:t>
            </w: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RESTRUCTURING AND RELATED CHARGES</w:t>
      </w:r>
    </w:p>
    <w:p>
      <w:pPr>
        <w:spacing w:after="0" w:line="12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In November 2024, the Company announced a restructuring initiative to streamline operations and focus resources on advancing the clinical development of solnerstotug (the "Restructuring"). As part of the Restructuring, the Company closed its research site in Rockville, Maryland, and reduced its workforce by approximately 46%, with the majority of reductions occurring in the preclinical research and development group. These actions were intended to extend the Company’s cash runway. The Restructuring costs primarily related to one-time termination benefits and ongoing benefit arrangements, both of which included severance payments and extended benefits coverage. Aggregate costs also included certain contract termination costs.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accrued liabilities activity recorded in connection with the Restructuring as of March 31, 2025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Personnel</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5"/>
                <w:szCs w:val="15"/>
                <w:color w:val="auto"/>
              </w:rPr>
            </w:pPr>
          </w:p>
        </w:tc>
      </w:tr>
      <w:tr>
        <w:trPr>
          <w:trHeight w:val="209"/>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January 1, 2024</w:t>
            </w:r>
          </w:p>
        </w:tc>
        <w:tc>
          <w:tcPr>
            <w:tcW w:w="35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Restructuring and other costs</w:t>
            </w:r>
          </w:p>
        </w:tc>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tcPr>
          <w:p>
            <w:pPr>
              <w:spacing w:after="0"/>
              <w:rPr>
                <w:sz w:val="18"/>
                <w:szCs w:val="18"/>
                <w:color w:val="auto"/>
              </w:rPr>
            </w:pPr>
          </w:p>
        </w:tc>
      </w:tr>
      <w:tr>
        <w:trPr>
          <w:trHeight w:val="216"/>
        </w:trPr>
        <w:tc>
          <w:tcPr>
            <w:tcW w:w="41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Cash payments</w:t>
            </w:r>
          </w:p>
        </w:tc>
        <w:tc>
          <w:tcPr>
            <w:tcW w:w="3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(278)</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(278)</w:t>
            </w:r>
          </w:p>
        </w:tc>
      </w:tr>
      <w:tr>
        <w:trPr>
          <w:trHeight w:val="209"/>
        </w:trPr>
        <w:tc>
          <w:tcPr>
            <w:tcW w:w="41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332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Borders>
              <w:top w:val="single" w:sz="8" w:color="CFF0FC"/>
            </w:tcBorders>
          </w:tcPr>
          <w:p>
            <w:pPr>
              <w:spacing w:after="0"/>
              <w:rPr>
                <w:sz w:val="18"/>
                <w:szCs w:val="18"/>
                <w:color w:val="auto"/>
              </w:rPr>
            </w:pPr>
          </w:p>
        </w:tc>
      </w:tr>
      <w:tr>
        <w:trPr>
          <w:trHeight w:val="209"/>
        </w:trPr>
        <w:tc>
          <w:tcPr>
            <w:tcW w:w="41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Restructuring and other costs, net</w:t>
            </w:r>
          </w:p>
        </w:tc>
        <w:tc>
          <w:tcPr>
            <w:tcW w:w="3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FF0FC"/>
          </w:tcPr>
          <w:p>
            <w:pPr>
              <w:spacing w:after="0"/>
              <w:rPr>
                <w:sz w:val="18"/>
                <w:szCs w:val="18"/>
                <w:color w:val="auto"/>
              </w:rPr>
            </w:pPr>
          </w:p>
        </w:tc>
      </w:tr>
      <w:tr>
        <w:trPr>
          <w:trHeight w:val="216"/>
        </w:trPr>
        <w:tc>
          <w:tcPr>
            <w:tcW w:w="4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Cash payments</w:t>
            </w:r>
          </w:p>
        </w:tc>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(346)</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(362)</w:t>
            </w:r>
          </w:p>
        </w:tc>
      </w:tr>
      <w:tr>
        <w:trPr>
          <w:trHeight w:val="250"/>
        </w:trPr>
        <w:tc>
          <w:tcPr>
            <w:tcW w:w="4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March 31, 2025</w:t>
            </w:r>
          </w:p>
        </w:tc>
        <w:tc>
          <w:tcPr>
            <w:tcW w:w="33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628"/>
        </w:trPr>
        <w:tc>
          <w:tcPr>
            <w:tcW w:w="4120" w:type="dxa"/>
            <w:vAlign w:val="bottom"/>
          </w:tcPr>
          <w:p>
            <w:pPr>
              <w:spacing w:after="0"/>
              <w:rPr>
                <w:sz w:val="24"/>
                <w:szCs w:val="24"/>
                <w:color w:val="auto"/>
              </w:rPr>
            </w:pPr>
          </w:p>
        </w:tc>
        <w:tc>
          <w:tcPr>
            <w:tcW w:w="3320" w:type="dxa"/>
            <w:vAlign w:val="bottom"/>
          </w:tcPr>
          <w:p>
            <w:pPr>
              <w:jc w:val="right"/>
              <w:ind w:right="1630"/>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12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-1508125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-1508125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-1508125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-933450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-916305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-933450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-916305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Certain statements contained in this Quarterly Report on Form 10-Q may constitute forward-looking statements within the meaning of Section 27A of the Securities Act of 1933, as amended, and Section 21E of the Securities Exchange Act of 1934, as amended. The words and phrases “designed to,” “may,” “might,” “can,” “will,” “to be,” “could,” “would,” “should,” “expect,” “intend,” “plan,” “objective,” “anticipate,” “believe,” “estimate,” “predict,” “project,” “potential,” “likely,” “continue,” “ongoing” or similar expressions, or the negative of such words, are intended to identify “forward-looking statements.” We have based these forward-looking statements on our current expectations and projections about future events. Because such statements include risks and uncertainties, actual results may differ materially from those expressed or implied by such forward-looking statements. Factors that could cause or contribute to these differences include those below in this Quarterly Report under the caption “Risk Factors,” and in our other filings with the Securities and Exchange Commission, or SEC. Statements made herein are as of the date of the filing of this Form 10-Q with the SEC and should not be relied upon as of any subsequent date. Unless otherwise required by applicable law, we do not undertake, and we specifically disclaim, any obligation to update any forward-looking statements to reflect occurrences, developments, unanticipated events or circumstances after the date of such statement.</w:t>
      </w:r>
    </w:p>
    <w:p>
      <w:pPr>
        <w:spacing w:after="0" w:line="86"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in conjunction with our unaudited condensed consolidated financial statements and related notes that appear in Item 1 of this Quarterly Report on Form 10-Q and with our audited consolidated financial statements and related notes for the year ended December 31, 2024, which are included in our Annual Report on Form 10-K filed with the SEC on March 28, 2025.</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are a clinical-stage biotechnology company focused on the discovery and development of next-generation therapeutics for cancer patients. Through our TMAb™ (Tumor Microenvironment Activated Biologics) platform, we are developing highly selective therapeutics designed to disable immunosuppressive signals or activate immunostimulatory signals selectively in the tumor microenvironment. Our strategy is to generate novel product candidates that incorporate next-generation technologies or approaches. We plan to efficiently develop these product candidates by incorporating state-of-the-art biomarker approaches and mechanistic understanding into clinical trial designs targeted to well-defined patient populations.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currently have one investigational product candidate, solnerstotug, in clinical development, and three preclinical product candidates.</w:t>
      </w:r>
    </w:p>
    <w:p>
      <w:pPr>
        <w:spacing w:after="0" w:line="113" w:lineRule="exact"/>
        <w:rPr>
          <w:sz w:val="20"/>
          <w:szCs w:val="20"/>
          <w:color w:val="auto"/>
        </w:rPr>
      </w:pPr>
    </w:p>
    <w:p>
      <w:pPr>
        <w:ind w:left="1020" w:right="220" w:hanging="503"/>
        <w:spacing w:after="0" w:line="28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Solnerstotug </w:t>
      </w:r>
      <w:r>
        <w:rPr>
          <w:rFonts w:ascii="Times New Roman" w:cs="Times New Roman" w:eastAsia="Times New Roman" w:hAnsi="Times New Roman"/>
          <w:sz w:val="18"/>
          <w:szCs w:val="18"/>
          <w:color w:val="auto"/>
        </w:rPr>
        <w:t>(formerly referred to as SNS-101) is our conditionally active monoclonal antibody targeting the immune checkpoint VISTA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(V-domain Ig suppressor of T-cell activation).</w:t>
      </w:r>
    </w:p>
    <w:p>
      <w:pPr>
        <w:spacing w:after="0" w:line="50" w:lineRule="exact"/>
        <w:rPr>
          <w:rFonts w:ascii="Times New Roman" w:cs="Times New Roman" w:eastAsia="Times New Roman" w:hAnsi="Times New Roman"/>
          <w:sz w:val="18"/>
          <w:szCs w:val="18"/>
          <w:color w:val="auto"/>
        </w:rPr>
      </w:pPr>
    </w:p>
    <w:p>
      <w:pPr>
        <w:ind w:left="1540" w:right="260" w:hanging="50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oIn May 2023, we initiated a first-in-human Phase 1/2 open-label, multi-center, dose escalation and expansion trial to evaluate the safety, tolerability, pharmacokinetics, pharmacodynamics and efficacy of solnerstotug as monotherapy and/or in combination with cemiplimab in patients with advanced solid tumors.</w:t>
      </w:r>
    </w:p>
    <w:p>
      <w:pPr>
        <w:spacing w:after="0" w:line="67" w:lineRule="exact"/>
        <w:rPr>
          <w:rFonts w:ascii="Times New Roman" w:cs="Times New Roman" w:eastAsia="Times New Roman" w:hAnsi="Times New Roman"/>
          <w:sz w:val="18"/>
          <w:szCs w:val="18"/>
          <w:color w:val="auto"/>
        </w:rPr>
      </w:pPr>
    </w:p>
    <w:p>
      <w:pPr>
        <w:ind w:left="1540" w:right="36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oOn March 27, 2025, we disclosed clinical data from the dose expansion portion of the clinical trial, showing favorable activity in patients with PD-(L)1 resistant “hot” tumors.</w:t>
      </w:r>
    </w:p>
    <w:p>
      <w:pPr>
        <w:spacing w:after="0" w:line="53" w:lineRule="exact"/>
        <w:rPr>
          <w:rFonts w:ascii="Times New Roman" w:cs="Times New Roman" w:eastAsia="Times New Roman" w:hAnsi="Times New Roman"/>
          <w:sz w:val="18"/>
          <w:szCs w:val="18"/>
          <w:color w:val="auto"/>
        </w:rPr>
      </w:pPr>
    </w:p>
    <w:p>
      <w:pPr>
        <w:ind w:left="1540" w:right="6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oAs of May 1, 2025 an aggregate of 97 patients have been dosed in the Phase 1 portion of the clinical trial, consisting of 34 patients in the dose escalation cohort and 63 patients in the dose expansion cohort. The 63 patients in the dose expansion cohort consist of:</w:t>
      </w:r>
    </w:p>
    <w:p>
      <w:pPr>
        <w:spacing w:after="0" w:line="53" w:lineRule="exact"/>
        <w:rPr>
          <w:rFonts w:ascii="Times New Roman" w:cs="Times New Roman" w:eastAsia="Times New Roman" w:hAnsi="Times New Roman"/>
          <w:sz w:val="18"/>
          <w:szCs w:val="18"/>
          <w:color w:val="auto"/>
        </w:rPr>
      </w:pPr>
    </w:p>
    <w:p>
      <w:pPr>
        <w:ind w:left="2040" w:hanging="505"/>
        <w:spacing w:after="0"/>
        <w:tabs>
          <w:tab w:leader="none" w:pos="20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microsatellite stable (MSS) CRC patients in the monotherapy arm; and</w:t>
      </w:r>
    </w:p>
    <w:p>
      <w:pPr>
        <w:spacing w:after="0" w:line="117" w:lineRule="exact"/>
        <w:rPr>
          <w:rFonts w:ascii="Times New Roman" w:cs="Times New Roman" w:eastAsia="Times New Roman" w:hAnsi="Times New Roman"/>
          <w:sz w:val="18"/>
          <w:szCs w:val="18"/>
          <w:color w:val="auto"/>
        </w:rPr>
      </w:pPr>
    </w:p>
    <w:p>
      <w:pPr>
        <w:ind w:left="2040" w:right="360" w:hanging="505"/>
        <w:spacing w:after="0" w:line="282" w:lineRule="auto"/>
        <w:tabs>
          <w:tab w:leader="none" w:pos="20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 patients in the cemiplimab combination arm, consisting of 10 MSS CRC patients and 43 PD-(L)1 resistant "hot" tumor patients.</w:t>
      </w:r>
    </w:p>
    <w:p>
      <w:pPr>
        <w:spacing w:after="0" w:line="54" w:lineRule="exact"/>
        <w:rPr>
          <w:sz w:val="20"/>
          <w:szCs w:val="20"/>
          <w:color w:val="auto"/>
        </w:rPr>
      </w:pPr>
    </w:p>
    <w:p>
      <w:pPr>
        <w:ind w:left="1540" w:right="200" w:hanging="514"/>
        <w:spacing w:after="0" w:line="282" w:lineRule="auto"/>
        <w:tabs>
          <w:tab w:leader="none" w:pos="15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Enrollment in the Phase 1 portion of the clinical trial is now complete, and we expect to present updated clinical data from the dose expansion cohort by the end of 2025.</w:t>
      </w:r>
    </w:p>
    <w:p>
      <w:pPr>
        <w:spacing w:after="0" w:line="53" w:lineRule="exact"/>
        <w:rPr>
          <w:rFonts w:ascii="Times New Roman" w:cs="Times New Roman" w:eastAsia="Times New Roman" w:hAnsi="Times New Roman"/>
          <w:sz w:val="18"/>
          <w:szCs w:val="18"/>
          <w:color w:val="auto"/>
        </w:rPr>
      </w:pPr>
    </w:p>
    <w:p>
      <w:pPr>
        <w:ind w:left="1540" w:right="60" w:hanging="514"/>
        <w:spacing w:after="0" w:line="312" w:lineRule="auto"/>
        <w:tabs>
          <w:tab w:leader="none" w:pos="1540"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our ability to raise sufficient additional capital, we are planning to initiate a Phase 2 trial of solnerstotug in the first quarter of 2026, with the trial design and patient selection strategies to be informed by the ongoing dose expansion portion of the trial.</w:t>
      </w:r>
    </w:p>
    <w:p>
      <w:pPr>
        <w:spacing w:after="0" w:line="27" w:lineRule="exact"/>
        <w:rPr>
          <w:rFonts w:ascii="Times New Roman" w:cs="Times New Roman" w:eastAsia="Times New Roman" w:hAnsi="Times New Roman"/>
          <w:sz w:val="17"/>
          <w:szCs w:val="17"/>
          <w:color w:val="auto"/>
        </w:rPr>
      </w:pPr>
    </w:p>
    <w:p>
      <w:pPr>
        <w:ind w:left="1020" w:right="120" w:hanging="503"/>
        <w:spacing w:after="0" w:line="28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SNS-102 </w:t>
      </w:r>
      <w:r>
        <w:rPr>
          <w:rFonts w:ascii="Times New Roman" w:cs="Times New Roman" w:eastAsia="Times New Roman" w:hAnsi="Times New Roman"/>
          <w:sz w:val="18"/>
          <w:szCs w:val="18"/>
          <w:color w:val="auto"/>
        </w:rPr>
        <w:t>is our conditionally active monoclonal antibody targeting VSIG4 (V-Set and Immunoglobulin Domain Containing 4), an immune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checkpoint often expressed on macrophages.</w:t>
      </w:r>
    </w:p>
    <w:p>
      <w:pPr>
        <w:spacing w:after="0" w:line="15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1" w:right="399" w:bottom="1440" w:gutter="0" w:footer="0" w:header="0"/>
        </w:sectPr>
      </w:pPr>
    </w:p>
    <w:bookmarkStart w:id="17" w:name="page18"/>
    <w:bookmarkEnd w:id="17"/>
    <w:p>
      <w:pPr>
        <w:ind w:left="1020" w:right="180" w:hanging="503"/>
        <w:spacing w:after="0" w:line="28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SNS-103 </w:t>
      </w:r>
      <w:r>
        <w:rPr>
          <w:rFonts w:ascii="Times New Roman" w:cs="Times New Roman" w:eastAsia="Times New Roman" w:hAnsi="Times New Roman"/>
          <w:sz w:val="18"/>
          <w:szCs w:val="18"/>
          <w:color w:val="auto"/>
        </w:rPr>
        <w:t>is our conditionally active monoclonal antibody targeting ENTPDase1 (ecto-nucleoside triphosphate diphosphohydrolase-1), also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known as CD39.</w:t>
      </w:r>
    </w:p>
    <w:p>
      <w:pPr>
        <w:spacing w:after="0" w:line="46"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SNS-201 </w:t>
      </w:r>
      <w:r>
        <w:rPr>
          <w:rFonts w:ascii="Times New Roman" w:cs="Times New Roman" w:eastAsia="Times New Roman" w:hAnsi="Times New Roman"/>
          <w:sz w:val="18"/>
          <w:szCs w:val="18"/>
          <w:color w:val="auto"/>
        </w:rPr>
        <w:t>is a bispecific antibody that is being designed to conditionally activate Cluster of Differentiation 28 (CD28). It is a bispecific format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monovalent CD28 engagement and bivalent pH-selective VISTA binding for efficient engagement at low pH.</w:t>
      </w:r>
    </w:p>
    <w:p>
      <w:pPr>
        <w:spacing w:after="0" w:line="159" w:lineRule="exact"/>
        <w:rPr>
          <w:sz w:val="20"/>
          <w:szCs w:val="20"/>
          <w:color w:val="auto"/>
        </w:rPr>
      </w:pPr>
    </w:p>
    <w:p>
      <w:pPr>
        <w:ind w:right="140" w:firstLine="749"/>
        <w:spacing w:after="0" w:line="256" w:lineRule="auto"/>
        <w:rPr>
          <w:sz w:val="20"/>
          <w:szCs w:val="20"/>
          <w:color w:val="auto"/>
        </w:rPr>
      </w:pPr>
      <w:r>
        <w:rPr>
          <w:rFonts w:ascii="Times New Roman" w:cs="Times New Roman" w:eastAsia="Times New Roman" w:hAnsi="Times New Roman"/>
          <w:sz w:val="18"/>
          <w:szCs w:val="18"/>
          <w:color w:val="auto"/>
        </w:rPr>
        <w:t>In November 2024, we announced a plan to decrease operating expenses, streamline operations and focus resources on advancing the clinical development of solnerstotug (the "Restructuring"). As a result, we closed our research site in Rockville, Maryland, reduced our workforce by approximately 46%, with most headcount reductions affecting our preclinical research and development group, and paused further development of our preclinical product candidates, including SNS-102, SNS-103 and SNS-201. With this realignment of resources, we expect our existing cash and cash equivalents will enable us to fund our operating expenses and capital expenditure requirements into the second quarter of 2026. We plan to continue reviewing our financial resources with the expectation that work on our preclinical product candidates will resume if we raise sufficient additional capital.</w:t>
      </w:r>
    </w:p>
    <w:p>
      <w:pPr>
        <w:spacing w:after="0" w:line="79"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We do not have any product candidates approved for sale, have not generated any revenue from product sales, and do not expect to generate any revenue from product sales for at least the next several years. We have largely funded our operations with proceeds from the sale of convertible preferred stock, common stock and convertible debt. Through the date of this Report, we have raised an aggregate of $123.4 million of gross proceeds from private placements of our equity and convertible debt securities and net proceeds of $138.5 million from our initial public offering, or IPO, in February 2021.</w:t>
      </w:r>
    </w:p>
    <w:p>
      <w:pPr>
        <w:spacing w:after="0" w:line="72"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have incurred significant operating losses over the last several years. Our net loss was $6.9 million and $8.0 million for the three months ended March 31, 2025 and 2024, respectively. As of March 31, 2025, we had an accumulated deficit of $268.9 million. We expect to continue to incur significant expenses and operating losses for the foreseeable future. We anticipate that our expenses will increase significantly in connection with our ongoing activities, as we:</w:t>
      </w:r>
    </w:p>
    <w:p>
      <w:pPr>
        <w:spacing w:after="0" w:line="72" w:lineRule="exact"/>
        <w:rPr>
          <w:sz w:val="20"/>
          <w:szCs w:val="20"/>
          <w:color w:val="auto"/>
        </w:rPr>
      </w:pPr>
    </w:p>
    <w:p>
      <w:pPr>
        <w:ind w:left="780" w:hanging="128"/>
        <w:spacing w:after="0"/>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clinical trials of product candidates, including solnerstotug;</w:t>
      </w:r>
    </w:p>
    <w:p>
      <w:pPr>
        <w:spacing w:after="0" w:line="117" w:lineRule="exact"/>
        <w:rPr>
          <w:rFonts w:ascii="Times New Roman" w:cs="Times New Roman" w:eastAsia="Times New Roman" w:hAnsi="Times New Roman"/>
          <w:sz w:val="18"/>
          <w:szCs w:val="18"/>
          <w:color w:val="auto"/>
        </w:rPr>
      </w:pPr>
    </w:p>
    <w:p>
      <w:pPr>
        <w:ind w:left="780" w:hanging="128"/>
        <w:spacing w:after="0"/>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in our TMAb platform;</w:t>
      </w:r>
    </w:p>
    <w:p>
      <w:pPr>
        <w:spacing w:after="0" w:line="117" w:lineRule="exact"/>
        <w:rPr>
          <w:rFonts w:ascii="Times New Roman" w:cs="Times New Roman" w:eastAsia="Times New Roman" w:hAnsi="Times New Roman"/>
          <w:sz w:val="18"/>
          <w:szCs w:val="18"/>
          <w:color w:val="auto"/>
        </w:rPr>
      </w:pPr>
    </w:p>
    <w:p>
      <w:pPr>
        <w:ind w:left="780" w:hanging="128"/>
        <w:spacing w:after="0"/>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discover and develop additional product candidates or acquire or in-license drugs, product candidates or technologies;</w:t>
      </w:r>
    </w:p>
    <w:p>
      <w:pPr>
        <w:spacing w:after="0" w:line="117" w:lineRule="exact"/>
        <w:rPr>
          <w:rFonts w:ascii="Times New Roman" w:cs="Times New Roman" w:eastAsia="Times New Roman" w:hAnsi="Times New Roman"/>
          <w:sz w:val="18"/>
          <w:szCs w:val="18"/>
          <w:color w:val="auto"/>
        </w:rPr>
      </w:pPr>
    </w:p>
    <w:p>
      <w:pPr>
        <w:ind w:left="780" w:hanging="128"/>
        <w:spacing w:after="0"/>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780" w:right="460" w:hanging="128"/>
        <w:spacing w:after="0" w:line="282" w:lineRule="auto"/>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ultimately establish a sales, marketing and distribution infrastructure and scale up manufacturing capabilities to commercialize any product candidates for which we may obtain regulatory approval;</w:t>
      </w:r>
    </w:p>
    <w:p>
      <w:pPr>
        <w:spacing w:after="0" w:line="53" w:lineRule="exact"/>
        <w:rPr>
          <w:rFonts w:ascii="Times New Roman" w:cs="Times New Roman" w:eastAsia="Times New Roman" w:hAnsi="Times New Roman"/>
          <w:sz w:val="18"/>
          <w:szCs w:val="18"/>
          <w:color w:val="auto"/>
        </w:rPr>
      </w:pPr>
    </w:p>
    <w:p>
      <w:pPr>
        <w:ind w:left="780" w:hanging="128"/>
        <w:spacing w:after="0"/>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our product candidates or otherwise secure the clinical and commercial supply of our product candidates;</w:t>
      </w:r>
    </w:p>
    <w:p>
      <w:pPr>
        <w:spacing w:after="0" w:line="117" w:lineRule="exact"/>
        <w:rPr>
          <w:rFonts w:ascii="Times New Roman" w:cs="Times New Roman" w:eastAsia="Times New Roman" w:hAnsi="Times New Roman"/>
          <w:sz w:val="18"/>
          <w:szCs w:val="18"/>
          <w:color w:val="auto"/>
        </w:rPr>
      </w:pPr>
    </w:p>
    <w:p>
      <w:pPr>
        <w:ind w:left="780" w:hanging="128"/>
        <w:spacing w:after="0"/>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research and development and selling, general and administrative personnel;</w:t>
      </w:r>
    </w:p>
    <w:p>
      <w:pPr>
        <w:spacing w:after="0" w:line="117" w:lineRule="exact"/>
        <w:rPr>
          <w:rFonts w:ascii="Times New Roman" w:cs="Times New Roman" w:eastAsia="Times New Roman" w:hAnsi="Times New Roman"/>
          <w:sz w:val="18"/>
          <w:szCs w:val="18"/>
          <w:color w:val="auto"/>
        </w:rPr>
      </w:pPr>
    </w:p>
    <w:p>
      <w:pPr>
        <w:ind w:left="780" w:hanging="128"/>
        <w:spacing w:after="0"/>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 and</w:t>
      </w:r>
    </w:p>
    <w:p>
      <w:pPr>
        <w:spacing w:after="0" w:line="117" w:lineRule="exact"/>
        <w:rPr>
          <w:rFonts w:ascii="Times New Roman" w:cs="Times New Roman" w:eastAsia="Times New Roman" w:hAnsi="Times New Roman"/>
          <w:sz w:val="18"/>
          <w:szCs w:val="18"/>
          <w:color w:val="auto"/>
        </w:rPr>
      </w:pPr>
    </w:p>
    <w:p>
      <w:pPr>
        <w:ind w:left="780" w:hanging="128"/>
        <w:spacing w:after="0"/>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costs associated with operating as a public company.</w:t>
      </w:r>
    </w:p>
    <w:p>
      <w:pPr>
        <w:spacing w:after="0" w:line="225"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Cash used to fund operating expenses is impacted by the timing of when we pay these expenses, as reflected in the change in our accounts payable and accrued expenses. We expect to continue to incur net losses and negative cash flows for the foreseeable future, and we expect our research and development expenses, general and administrative expenses, and capital expenditures will continue to increase. In particular, we expect our expenses to increase as we continue our development of, and seek regulatory approvals for, our product candidates, as well as hire additional personnel, pay fees to outside consultants, lawyers and accountants, and incur other increased costs associated with being a public company. In addition, if we seek and obtain regulatory approval to commercialize any product candidate, we will also incur increased expenses in connection with commercialization and marketing of any such product.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research and development expense consists of expenses incurred in connection with the discovery and development of our product candidates.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expenses include:</w:t>
      </w:r>
    </w:p>
    <w:p>
      <w:pPr>
        <w:spacing w:after="0" w:line="99" w:lineRule="exact"/>
        <w:rPr>
          <w:sz w:val="20"/>
          <w:szCs w:val="20"/>
          <w:color w:val="auto"/>
        </w:rPr>
      </w:pPr>
    </w:p>
    <w:p>
      <w:pPr>
        <w:ind w:left="780" w:right="280" w:hanging="128"/>
        <w:spacing w:after="0" w:line="282" w:lineRule="auto"/>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contract research organizations, or CROs, as well as investigative sites and consultants that conduct our preclinical studies and clinical trials;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8" w:name="page19"/>
    <w:bookmarkEnd w:id="18"/>
    <w:p>
      <w:pPr>
        <w:ind w:left="780" w:hanging="128"/>
        <w:spacing w:after="0" w:line="266" w:lineRule="auto"/>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product candidates including the cost of contract manufacturing organizations, or CMOs, that manufacture product for use in our preclinical studies and clinical trials and perform analytical testing, scale-up and other services in connection with our development activities;</w:t>
      </w:r>
    </w:p>
    <w:p>
      <w:pPr>
        <w:spacing w:after="0" w:line="67" w:lineRule="exact"/>
        <w:rPr>
          <w:rFonts w:ascii="Times New Roman" w:cs="Times New Roman" w:eastAsia="Times New Roman" w:hAnsi="Times New Roman"/>
          <w:sz w:val="18"/>
          <w:szCs w:val="18"/>
          <w:color w:val="auto"/>
        </w:rPr>
      </w:pPr>
    </w:p>
    <w:p>
      <w:pPr>
        <w:ind w:left="780" w:hanging="128"/>
        <w:spacing w:after="0"/>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outsourced professional scientific development services;</w:t>
      </w:r>
    </w:p>
    <w:p>
      <w:pPr>
        <w:spacing w:after="0" w:line="117" w:lineRule="exact"/>
        <w:rPr>
          <w:rFonts w:ascii="Times New Roman" w:cs="Times New Roman" w:eastAsia="Times New Roman" w:hAnsi="Times New Roman"/>
          <w:sz w:val="18"/>
          <w:szCs w:val="18"/>
          <w:color w:val="auto"/>
        </w:rPr>
      </w:pPr>
    </w:p>
    <w:p>
      <w:pPr>
        <w:ind w:left="780" w:right="160" w:hanging="128"/>
        <w:spacing w:after="0" w:line="282" w:lineRule="auto"/>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benefits and stock-based compensation for employees engaged in the research and development function;</w:t>
      </w:r>
    </w:p>
    <w:p>
      <w:pPr>
        <w:spacing w:after="0" w:line="53" w:lineRule="exact"/>
        <w:rPr>
          <w:rFonts w:ascii="Times New Roman" w:cs="Times New Roman" w:eastAsia="Times New Roman" w:hAnsi="Times New Roman"/>
          <w:sz w:val="18"/>
          <w:szCs w:val="18"/>
          <w:color w:val="auto"/>
        </w:rPr>
      </w:pPr>
    </w:p>
    <w:p>
      <w:pPr>
        <w:ind w:left="780" w:hanging="128"/>
        <w:spacing w:after="0"/>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relating to regulatory activities, including filing fees paid to regulatory agencies;</w:t>
      </w:r>
    </w:p>
    <w:p>
      <w:pPr>
        <w:spacing w:after="0" w:line="117" w:lineRule="exact"/>
        <w:rPr>
          <w:rFonts w:ascii="Times New Roman" w:cs="Times New Roman" w:eastAsia="Times New Roman" w:hAnsi="Times New Roman"/>
          <w:sz w:val="18"/>
          <w:szCs w:val="18"/>
          <w:color w:val="auto"/>
        </w:rPr>
      </w:pPr>
    </w:p>
    <w:p>
      <w:pPr>
        <w:ind w:left="780" w:hanging="128"/>
        <w:spacing w:after="0"/>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for maintaining licenses and other amounts due under our third party licensing agreements;</w:t>
      </w:r>
    </w:p>
    <w:p>
      <w:pPr>
        <w:spacing w:after="0" w:line="117" w:lineRule="exact"/>
        <w:rPr>
          <w:rFonts w:ascii="Times New Roman" w:cs="Times New Roman" w:eastAsia="Times New Roman" w:hAnsi="Times New Roman"/>
          <w:sz w:val="18"/>
          <w:szCs w:val="18"/>
          <w:color w:val="auto"/>
        </w:rPr>
      </w:pPr>
    </w:p>
    <w:p>
      <w:pPr>
        <w:ind w:left="780" w:hanging="128"/>
        <w:spacing w:after="0"/>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materials and supplies used to support our research activities; and</w:t>
      </w:r>
    </w:p>
    <w:p>
      <w:pPr>
        <w:spacing w:after="0" w:line="117" w:lineRule="exact"/>
        <w:rPr>
          <w:rFonts w:ascii="Times New Roman" w:cs="Times New Roman" w:eastAsia="Times New Roman" w:hAnsi="Times New Roman"/>
          <w:sz w:val="18"/>
          <w:szCs w:val="18"/>
          <w:color w:val="auto"/>
        </w:rPr>
      </w:pPr>
    </w:p>
    <w:p>
      <w:pPr>
        <w:ind w:left="780" w:hanging="128"/>
        <w:spacing w:after="0"/>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expenses for utilities and other facility-related costs.</w:t>
      </w:r>
    </w:p>
    <w:p>
      <w:pPr>
        <w:spacing w:after="0" w:line="225"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We expense all research and development costs in the periods in which they are incurred. Costs for certain research and development activities are recognized based on an evaluation of the progress to completion of specific tasks using information and data provided to us by our vendors and third-party service providers.</w:t>
      </w:r>
    </w:p>
    <w:p>
      <w:pPr>
        <w:spacing w:after="0" w:line="17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direct external research and development expenses consist primarily of external costs, such as fees paid to CROs, CMOs, research/testing laboratories and outside consultants in connection with our preclinical development, process development, manufacturing and clinical development activities. We do not allocate these costs to specific product candidates because many of them are deployed across several of our development programs and, as such, are not separately classified. We use internal resources primarily to conduct research and manage our preclinical development, process development, manufacturing and clinical development activities. These employees work across multiple development programs and, therefore, we do not track their costs by program and, as such, are not separately classified. 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our research and development expenses to increase over the next several years as we conduct our clinical trials, prepare regulatory filings for our product candidates and have increased costs associated with manufacturing.</w:t>
      </w:r>
    </w:p>
    <w:p>
      <w:pPr>
        <w:spacing w:after="0" w:line="188"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successful development of our product candidates is highly uncertain. At this time, we cannot reasonably estimate or know the nature, timing and costs of the efforts that will be necessary to complete the remainder of the development of, or when, if ever, material net cash inflows may commence from any of our product candidates. This uncertainty is due to the numerous risks and uncertainties associated with the duration and cost of clinical trials, which vary significantly over the life of a project as a result of many factors, including:</w:t>
      </w:r>
    </w:p>
    <w:p>
      <w:pPr>
        <w:spacing w:after="0" w:line="72" w:lineRule="exact"/>
        <w:rPr>
          <w:sz w:val="20"/>
          <w:szCs w:val="20"/>
          <w:color w:val="auto"/>
        </w:rPr>
      </w:pPr>
    </w:p>
    <w:p>
      <w:pPr>
        <w:ind w:left="780" w:right="520" w:hanging="128"/>
        <w:spacing w:after="0" w:line="282" w:lineRule="auto"/>
        <w:tabs>
          <w:tab w:leader="none" w:pos="7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outcome and costs of our preclinical studies, our current product candidates and any other product candidates we may acquire or develop;</w:t>
      </w:r>
    </w:p>
    <w:p>
      <w:pPr>
        <w:spacing w:after="0" w:line="53" w:lineRule="exact"/>
        <w:rPr>
          <w:rFonts w:ascii="Times New Roman" w:cs="Times New Roman" w:eastAsia="Times New Roman" w:hAnsi="Times New Roman"/>
          <w:sz w:val="18"/>
          <w:szCs w:val="18"/>
          <w:color w:val="auto"/>
        </w:rPr>
      </w:pPr>
    </w:p>
    <w:p>
      <w:pPr>
        <w:ind w:left="780" w:right="260" w:hanging="128"/>
        <w:spacing w:after="0" w:line="282" w:lineRule="auto"/>
        <w:tabs>
          <w:tab w:leader="none" w:pos="7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of our product candidates or making arrangements with third-party manufacturers for both clinical and commercial supplies of these product candidates;</w:t>
      </w:r>
    </w:p>
    <w:p>
      <w:pPr>
        <w:spacing w:after="0" w:line="53" w:lineRule="exact"/>
        <w:rPr>
          <w:rFonts w:ascii="Times New Roman" w:cs="Times New Roman" w:eastAsia="Times New Roman" w:hAnsi="Times New Roman"/>
          <w:sz w:val="18"/>
          <w:szCs w:val="18"/>
          <w:color w:val="auto"/>
        </w:rPr>
      </w:pPr>
    </w:p>
    <w:p>
      <w:pPr>
        <w:ind w:left="780" w:hanging="128"/>
        <w:spacing w:after="0"/>
        <w:tabs>
          <w:tab w:leader="none" w:pos="7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patient enrollment in, and the initiation, duration and completion of clinical trials;</w:t>
      </w:r>
    </w:p>
    <w:p>
      <w:pPr>
        <w:spacing w:after="0" w:line="117" w:lineRule="exact"/>
        <w:rPr>
          <w:rFonts w:ascii="Times New Roman" w:cs="Times New Roman" w:eastAsia="Times New Roman" w:hAnsi="Times New Roman"/>
          <w:sz w:val="18"/>
          <w:szCs w:val="18"/>
          <w:color w:val="auto"/>
        </w:rPr>
      </w:pPr>
    </w:p>
    <w:p>
      <w:pPr>
        <w:ind w:left="780" w:hanging="128"/>
        <w:spacing w:after="0"/>
        <w:tabs>
          <w:tab w:leader="none" w:pos="7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gaining regulatory approvals for our product candidates, subject to the successful outcome of ongoing and future clinical trials; and</w:t>
      </w:r>
    </w:p>
    <w:p>
      <w:pPr>
        <w:spacing w:after="0" w:line="117" w:lineRule="exact"/>
        <w:rPr>
          <w:rFonts w:ascii="Times New Roman" w:cs="Times New Roman" w:eastAsia="Times New Roman" w:hAnsi="Times New Roman"/>
          <w:sz w:val="18"/>
          <w:szCs w:val="18"/>
          <w:color w:val="auto"/>
        </w:rPr>
      </w:pPr>
    </w:p>
    <w:p>
      <w:pPr>
        <w:ind w:left="780" w:hanging="128"/>
        <w:spacing w:after="0"/>
        <w:tabs>
          <w:tab w:leader="none" w:pos="7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any required post-marketing approval commitments to applicable regulatory authorities.</w:t>
      </w:r>
    </w:p>
    <w:p>
      <w:pPr>
        <w:spacing w:after="0" w:line="22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Our expenditures are subject to additional uncertainties, including the terms and timing of regulatory approvals. We may never succeed in achieving regulatory approval for any of our product candidates. We may obtain unexpected results from our clinical trials. We may elect to discontinue, delay or modify clinical trials of some product candidates or focus on others. A change in the outcome of any of these variables with respect to the development of a product candidate could mean a significant change in the costs and timing associated with the development of that product candidate. For example, if the FDA or other regulatory authorities were to require us to conduct clinical trials beyond those that we currently anticipate, or if we experience significant delays in enrollment in any of our clinical trials, we could be required to expend significant additional financial resources and time on the completion of clinical development. Product commercialization will take several years and significant additional development costs.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9" w:name="page20"/>
    <w:bookmarkEnd w:id="19"/>
    <w:p>
      <w:pPr>
        <w:ind w:left="2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119" w:lineRule="exact"/>
        <w:rPr>
          <w:sz w:val="20"/>
          <w:szCs w:val="20"/>
          <w:color w:val="auto"/>
        </w:rPr>
      </w:pPr>
    </w:p>
    <w:p>
      <w:pPr>
        <w:jc w:val="both"/>
        <w:ind w:right="340"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principally of salaries and related costs for personnel in executive, administrative, finance and legal functions, including stock-based compensation, travel and recruiting expenses. Other general and administrative expenses include facility related costs, patent filing and prosecution costs and professional fees for legal, auditing and tax services, and insurance costs.</w:t>
      </w:r>
    </w:p>
    <w:p>
      <w:pPr>
        <w:spacing w:after="0" w:line="176" w:lineRule="exact"/>
        <w:rPr>
          <w:sz w:val="20"/>
          <w:szCs w:val="20"/>
          <w:color w:val="auto"/>
        </w:rPr>
      </w:pPr>
    </w:p>
    <w:p>
      <w:pPr>
        <w:jc w:val="both"/>
        <w:ind w:right="680" w:firstLine="509"/>
        <w:spacing w:after="0" w:line="266"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decrease slightly due to reduced payroll costs following the Restructuring. Infrastructure costs are expected to remain consistent, and other expenditures including consulting, legal, tax-related services, accounting, investor relations, and insurance premiums are expected to align with last year's levels.</w:t>
      </w:r>
    </w:p>
    <w:p>
      <w:pPr>
        <w:spacing w:after="0" w:line="2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other income (expense) consists of accretion on short-term investments, interest expense and gain or loss on fixed asset disposals.</w:t>
      </w:r>
    </w:p>
    <w:p>
      <w:pPr>
        <w:spacing w:after="0" w:line="3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jc w:val="both"/>
        <w:ind w:right="480" w:firstLine="509"/>
        <w:spacing w:after="0" w:line="266" w:lineRule="auto"/>
        <w:rPr>
          <w:sz w:val="20"/>
          <w:szCs w:val="20"/>
          <w:color w:val="auto"/>
        </w:rPr>
      </w:pPr>
      <w:r>
        <w:rPr>
          <w:rFonts w:ascii="Times New Roman" w:cs="Times New Roman" w:eastAsia="Times New Roman" w:hAnsi="Times New Roman"/>
          <w:sz w:val="18"/>
          <w:szCs w:val="18"/>
          <w:color w:val="auto"/>
        </w:rPr>
        <w:t>Since our inception, we have not recorded any income tax benefits for the net losses we have incurred or for the research and development tax credits earned in each year, as we believe, based upon the weight of available evidence, that it is more likely than not that all of our net operating loss carryforwards and tax credit carryforwards will not be realized.</w:t>
      </w:r>
    </w:p>
    <w:p>
      <w:pPr>
        <w:spacing w:after="0" w:line="2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2025 and 2024</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sets forth our results of operations for the three months ended March 31, 2025 and 2024:</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vMerge w:val="restart"/>
          </w:tcPr>
          <w:p>
            <w:pPr>
              <w:spacing w:after="0"/>
              <w:rPr>
                <w:sz w:val="15"/>
                <w:szCs w:val="15"/>
                <w:color w:val="auto"/>
              </w:rPr>
            </w:pPr>
          </w:p>
        </w:tc>
        <w:tc>
          <w:tcPr>
            <w:tcW w:w="260" w:type="dxa"/>
            <w:vAlign w:val="bottom"/>
          </w:tcPr>
          <w:p>
            <w:pPr>
              <w:spacing w:after="0"/>
              <w:rPr>
                <w:sz w:val="15"/>
                <w:szCs w:val="15"/>
                <w:color w:val="auto"/>
              </w:rPr>
            </w:pPr>
          </w:p>
        </w:tc>
        <w:tc>
          <w:tcPr>
            <w:tcW w:w="2720" w:type="dxa"/>
            <w:vAlign w:val="bottom"/>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540" w:type="dxa"/>
            <w:vAlign w:val="bottom"/>
            <w:tcBorders>
              <w:bottom w:val="single" w:sz="8" w:color="auto"/>
            </w:tcBorders>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3,725</w:t>
            </w:r>
          </w:p>
        </w:tc>
        <w:tc>
          <w:tcPr>
            <w:tcW w:w="12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4,917</w:t>
            </w:r>
          </w:p>
        </w:tc>
        <w:tc>
          <w:tcPr>
            <w:tcW w:w="100" w:type="dxa"/>
            <w:vAlign w:val="bottom"/>
          </w:tcPr>
          <w:p>
            <w:pPr>
              <w:spacing w:after="0"/>
              <w:rPr>
                <w:sz w:val="18"/>
                <w:szCs w:val="18"/>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(1,192)</w:t>
            </w: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3,549</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3,813</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10"/>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7,274</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8,730</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(7,274)</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(8,730)</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(6,864)</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(7,992)</w:t>
            </w: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5058410</wp:posOffset>
            </wp:positionH>
            <wp:positionV relativeFrom="paragraph">
              <wp:posOffset>-612140</wp:posOffset>
            </wp:positionV>
            <wp:extent cx="93980" cy="1797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6052820</wp:posOffset>
            </wp:positionH>
            <wp:positionV relativeFrom="paragraph">
              <wp:posOffset>-612140</wp:posOffset>
            </wp:positionV>
            <wp:extent cx="93980" cy="1797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-612140</wp:posOffset>
            </wp:positionV>
            <wp:extent cx="102870" cy="1797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-24765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-8255</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-8255</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were $3.7 million for the three months ended March 31, 2025, compared to $4.9 million for the three months ended March 31, 2024. The decrease of $1.2 million was primarily attributable to $0.8 million of lower personnel costs, including stock-based compensation and incentives, $0.4 million of lower facilities and equipment cost, $0.3 million less expense relating to relating to lab supply purchases, $0.2 million of lower preclinical research expense, $0.1 million less outside research fees and $0.1 million of lower manufacturing cost, partially offset by $0.7 million of higher expense associated with clinical trials.</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were $3.5 million for the three months ended March 31, 2025, compared to $3.8 million for the three months ended March 31, 2024. The decrease of $0.3 million was primarily attributable to $0.6 million of lower personnel costs, including stock-based compensation and incentives, and $0.1 million of less expense for directors and officers insurance, primarily offset by $0.3 million of higher consulting cost and $0.1 million higher cost for external administrative fees.</w:t>
      </w:r>
    </w:p>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119"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Other income was $0.4 million for the three months ended March 31, 2025, compared to other income of $0.7 million for the three months ended March 31, 2024. The other income decrease of $0.3 million was primarily related to a $0.3 million decrease in interest income.</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20" w:name="page21"/>
    <w:bookmarkEnd w:id="20"/>
    <w:p>
      <w:pPr>
        <w:ind w:left="260"/>
        <w:spacing w:after="0"/>
        <w:rPr>
          <w:sz w:val="20"/>
          <w:szCs w:val="20"/>
          <w:color w:val="auto"/>
        </w:rPr>
      </w:pPr>
      <w:r>
        <w:rPr>
          <w:rFonts w:ascii="Times New Roman" w:cs="Times New Roman" w:eastAsia="Times New Roman" w:hAnsi="Times New Roman"/>
          <w:sz w:val="18"/>
          <w:szCs w:val="18"/>
          <w:i w:val="1"/>
          <w:iCs w:val="1"/>
          <w:color w:val="auto"/>
        </w:rPr>
        <w:t>Sources of Liquidity</w:t>
      </w:r>
    </w:p>
    <w:p>
      <w:pPr>
        <w:spacing w:after="0" w:line="227"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We have not generated any product revenue and have incurred net losses and negative cash flows from our operations. As of March 31, 2025, we had cash, cash equivalents and marketable securities of $34.3 million. We have financed our operations through sales of our common stock, convertible preferred stock and convertible debt. Through the date of this Report, we have raised an aggregate of $123.4 million of gross proceeds from private placements of our equity and convertible debt securities and net proceeds of $138.5 million from our IPO in February 2021. Our net loss was $6.9 million and $8.0 million for the three months ended March 31, 2025 and 2024, respectively. As of March 31, 2025, we had an accumulated deficit of $268.9 million. Our primary use of cash is to fund operating expenses, which consist primarily of research and development expenditures, and to a lesser extent, general and administrative expenditures.</w:t>
      </w:r>
    </w:p>
    <w:p>
      <w:pPr>
        <w:spacing w:after="0" w:line="29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each of the periods below:</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vMerge w:val="restart"/>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gridSpan w:val="4"/>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760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5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7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(7,094)</w:t>
            </w:r>
          </w:p>
        </w:tc>
        <w:tc>
          <w:tcPr>
            <w:tcW w:w="5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(7,616)</w:t>
            </w:r>
          </w:p>
        </w:tc>
        <w:tc>
          <w:tcPr>
            <w:tcW w:w="0" w:type="dxa"/>
            <w:vAlign w:val="bottom"/>
          </w:tcPr>
          <w:p>
            <w:pPr>
              <w:spacing w:after="0"/>
              <w:rPr>
                <w:sz w:val="1"/>
                <w:szCs w:val="1"/>
                <w:color w:val="auto"/>
              </w:rPr>
            </w:pPr>
          </w:p>
        </w:tc>
      </w:tr>
      <w:tr>
        <w:trPr>
          <w:trHeight w:val="216"/>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60" w:type="dxa"/>
            <w:vAlign w:val="bottom"/>
          </w:tcPr>
          <w:p>
            <w:pPr>
              <w:spacing w:after="0"/>
              <w:rPr>
                <w:sz w:val="18"/>
                <w:szCs w:val="18"/>
                <w:color w:val="auto"/>
              </w:rPr>
            </w:pPr>
          </w:p>
        </w:tc>
        <w:tc>
          <w:tcPr>
            <w:tcW w:w="13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7,191</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5,770</w:t>
            </w:r>
          </w:p>
        </w:tc>
        <w:tc>
          <w:tcPr>
            <w:tcW w:w="0" w:type="dxa"/>
            <w:vAlign w:val="bottom"/>
          </w:tcPr>
          <w:p>
            <w:pPr>
              <w:spacing w:after="0"/>
              <w:rPr>
                <w:sz w:val="1"/>
                <w:szCs w:val="1"/>
                <w:color w:val="auto"/>
              </w:rPr>
            </w:pPr>
          </w:p>
        </w:tc>
      </w:tr>
      <w:tr>
        <w:trPr>
          <w:trHeight w:val="216"/>
        </w:trPr>
        <w:tc>
          <w:tcPr>
            <w:tcW w:w="77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10"/>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-170815</wp:posOffset>
            </wp:positionV>
            <wp:extent cx="10287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2025, net cash used in operating activities was $7.1 million, primarily resulting from our $6.9 million net loss and a $0.9 million decrease in our operating assets and liabilities partially offset by increases in non-cash charges of $0.6 million, primarily related to $0.5 million of stock compensation expense and $0.4 million of non-cash lease expense, partially offset by $0.3 million of accretion on marketable securities.</w:t>
      </w:r>
    </w:p>
    <w:p>
      <w:pPr>
        <w:spacing w:after="0" w:line="7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2024, net cash used in operating activities was $7.6 million, primarily resulting from our $8.0 million net loss and a $1.4 million increase in our operating assets and liabilities partially offset by increases in non-cash charges of $1.8 million which included $1.2 million of stock compensation expense, $0.4 million of non-cash lease expense, $0.2 million for amortization of financing lease ROU assets, and $0.1 million for depreciation and amortization, partially offset by $0.1 million of accretion on marketable securities.</w:t>
      </w:r>
    </w:p>
    <w:p>
      <w:pPr>
        <w:spacing w:after="0" w:line="2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net cash provided by investing activities was $7.2 million, primarily due to $13.5 million in maturities of short-term investments, partially offset by $6.3 million in purchases of short-term investments.</w:t>
      </w:r>
    </w:p>
    <w:p>
      <w:pPr>
        <w:spacing w:after="0" w:line="54"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net cash provided by investing activities was $5.8 million primarily due to $12.1 million in sales and maturities of short-term investments, partially offset by $6.3 million in purchases of short-term investments.</w:t>
      </w:r>
    </w:p>
    <w:p>
      <w:pPr>
        <w:spacing w:after="0" w:line="2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and 2024, net cash used in financing activities was $0.2 million, primarily consisting of $0.2 million of principal payments under our financing leases.</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w:t>
      </w:r>
    </w:p>
    <w:p>
      <w:pPr>
        <w:spacing w:after="0" w:line="121"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Our material cash requirements will have an impact on our future liquidity. Our material cash requirements represent material expected or contractually committed future payment obligations. We believe that we will be able to fund these obligations through cash from our existing cash, cash equivalents and marketable securities.</w:t>
      </w:r>
    </w:p>
    <w:p>
      <w:pPr>
        <w:spacing w:after="0" w:line="2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Operating Leases</w:t>
      </w:r>
    </w:p>
    <w:p>
      <w:pPr>
        <w:spacing w:after="0" w:line="119"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We have operating lease arrangements for our corporate offices, lab facilities and an executive residence. As part of our adoption of ASC 842, we recorded operating ROU assets and operating lease liabilities for these leases as of January 1, 2022. As of</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21" w:name="page22"/>
    <w:bookmarkEnd w:id="21"/>
    <w:p>
      <w:pPr>
        <w:ind w:right="540"/>
        <w:spacing w:after="0" w:line="282" w:lineRule="auto"/>
        <w:rPr>
          <w:sz w:val="20"/>
          <w:szCs w:val="20"/>
          <w:color w:val="auto"/>
        </w:rPr>
      </w:pPr>
      <w:r>
        <w:rPr>
          <w:rFonts w:ascii="Times New Roman" w:cs="Times New Roman" w:eastAsia="Times New Roman" w:hAnsi="Times New Roman"/>
          <w:sz w:val="18"/>
          <w:szCs w:val="18"/>
          <w:color w:val="auto"/>
        </w:rPr>
        <w:t>March 31, 2025, we had operating lease payment obligations of $2.7 million, with $1.3 million payable for the remainder of 2025. See Note 6 in our condensed consolidated financial statements included elsewhere in this Form 10-Q for additional information.</w:t>
      </w:r>
    </w:p>
    <w:p>
      <w:pPr>
        <w:spacing w:after="0" w:line="2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Finance Leases</w:t>
      </w:r>
    </w:p>
    <w:p>
      <w:pPr>
        <w:spacing w:after="0" w:line="11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lease research equipment and furniture under finance leases. As part of our adoption of ASC 842, we recorded financing ROU assets and financing lease liabilities for these leases as of January 1, 2022. As of March 31, 2025, we had finance lease payment obligations of $0.6 million, with $0.5 million payable for the remainder of 2025. See Note 6 in our condensed consolidated financial statements included elsewhere in this Form 10-Q for additional information.</w:t>
      </w:r>
    </w:p>
    <w:p>
      <w:pPr>
        <w:spacing w:after="0" w:line="180"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In the biopharmaceutical industry, it can take a significant amount of time and capital resources to successfully complete all stages of research and development and commercialize a product candidate. The ultimate length of time and spend required cannot be accurately estimated as it varies substantially according to the type, complexity, novelty and intended use of a product candidate. Please see the "Funding Requirements" section below for further details.</w:t>
      </w:r>
    </w:p>
    <w:p>
      <w:pPr>
        <w:spacing w:after="0" w:line="2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expect our expenses to increase in connection with our ongoing activities, particularly as we continue the research and development of, initiate clinical trials of, and potentially seek marketing approval for, our product candidates. In addition, we expect to continue to incur significant costs associated with operating as a public company, including significant legal, accounting, investor relations and other expenses. The timing and amount of our operating expenditures will depend largely on:</w:t>
      </w:r>
    </w:p>
    <w:p>
      <w:pPr>
        <w:spacing w:after="0" w:line="72" w:lineRule="exact"/>
        <w:rPr>
          <w:sz w:val="20"/>
          <w:szCs w:val="20"/>
          <w:color w:val="auto"/>
        </w:rPr>
      </w:pPr>
    </w:p>
    <w:p>
      <w:pPr>
        <w:ind w:left="780" w:right="400" w:hanging="128"/>
        <w:spacing w:after="0" w:line="282" w:lineRule="auto"/>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current and future preclinical studies and clinical trials for our current and future product candidates;</w:t>
      </w:r>
    </w:p>
    <w:p>
      <w:pPr>
        <w:spacing w:after="0" w:line="53" w:lineRule="exact"/>
        <w:rPr>
          <w:rFonts w:ascii="Times New Roman" w:cs="Times New Roman" w:eastAsia="Times New Roman" w:hAnsi="Times New Roman"/>
          <w:sz w:val="18"/>
          <w:szCs w:val="18"/>
          <w:color w:val="auto"/>
        </w:rPr>
      </w:pPr>
    </w:p>
    <w:p>
      <w:pPr>
        <w:ind w:left="780" w:hanging="128"/>
        <w:spacing w:after="0"/>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the manufacture of additional clinical trial material as well as any costs related to the scale-up of manufacturing activities;</w:t>
      </w:r>
    </w:p>
    <w:p>
      <w:pPr>
        <w:spacing w:after="0" w:line="117" w:lineRule="exact"/>
        <w:rPr>
          <w:rFonts w:ascii="Times New Roman" w:cs="Times New Roman" w:eastAsia="Times New Roman" w:hAnsi="Times New Roman"/>
          <w:sz w:val="18"/>
          <w:szCs w:val="18"/>
          <w:color w:val="auto"/>
        </w:rPr>
      </w:pPr>
    </w:p>
    <w:p>
      <w:pPr>
        <w:ind w:left="780" w:hanging="128"/>
        <w:spacing w:after="0"/>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to seek regulatory approvals for any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780" w:hanging="128"/>
        <w:spacing w:after="0"/>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hire additional clinical, quality assurance, quality control and other scientific personnel;</w:t>
      </w:r>
    </w:p>
    <w:p>
      <w:pPr>
        <w:spacing w:after="0" w:line="117" w:lineRule="exact"/>
        <w:rPr>
          <w:rFonts w:ascii="Times New Roman" w:cs="Times New Roman" w:eastAsia="Times New Roman" w:hAnsi="Times New Roman"/>
          <w:sz w:val="18"/>
          <w:szCs w:val="18"/>
          <w:color w:val="auto"/>
        </w:rPr>
      </w:pPr>
    </w:p>
    <w:p>
      <w:pPr>
        <w:ind w:left="780" w:hanging="128"/>
        <w:spacing w:after="0"/>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product candidates that we develop or may in-license;</w:t>
      </w:r>
    </w:p>
    <w:p>
      <w:pPr>
        <w:spacing w:after="0" w:line="117" w:lineRule="exact"/>
        <w:rPr>
          <w:rFonts w:ascii="Times New Roman" w:cs="Times New Roman" w:eastAsia="Times New Roman" w:hAnsi="Times New Roman"/>
          <w:sz w:val="18"/>
          <w:szCs w:val="18"/>
          <w:color w:val="auto"/>
        </w:rPr>
      </w:pPr>
    </w:p>
    <w:p>
      <w:pPr>
        <w:ind w:left="780" w:hanging="128"/>
        <w:spacing w:after="0"/>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meeting and maintaining compliance with regulatory requirements;</w:t>
      </w:r>
    </w:p>
    <w:p>
      <w:pPr>
        <w:spacing w:after="0" w:line="117" w:lineRule="exact"/>
        <w:rPr>
          <w:rFonts w:ascii="Times New Roman" w:cs="Times New Roman" w:eastAsia="Times New Roman" w:hAnsi="Times New Roman"/>
          <w:sz w:val="18"/>
          <w:szCs w:val="18"/>
          <w:color w:val="auto"/>
        </w:rPr>
      </w:pPr>
    </w:p>
    <w:p>
      <w:pPr>
        <w:ind w:left="780" w:hanging="128"/>
        <w:spacing w:after="0"/>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filing, prosecuting, defending and enforcing our patent claims and other intellectual property rights;</w:t>
      </w:r>
    </w:p>
    <w:p>
      <w:pPr>
        <w:spacing w:after="0" w:line="117" w:lineRule="exact"/>
        <w:rPr>
          <w:rFonts w:ascii="Times New Roman" w:cs="Times New Roman" w:eastAsia="Times New Roman" w:hAnsi="Times New Roman"/>
          <w:sz w:val="18"/>
          <w:szCs w:val="18"/>
          <w:color w:val="auto"/>
        </w:rPr>
      </w:pPr>
    </w:p>
    <w:p>
      <w:pPr>
        <w:ind w:left="780" w:right="740" w:hanging="128"/>
        <w:spacing w:after="0" w:line="282" w:lineRule="auto"/>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collaboration agreements we may choose to enter into, including the achievement of milestones or occurrence of other developments that trigger payments under any license or collaboration agreements we might have at such time;</w:t>
      </w:r>
    </w:p>
    <w:p>
      <w:pPr>
        <w:spacing w:after="0" w:line="53" w:lineRule="exact"/>
        <w:rPr>
          <w:rFonts w:ascii="Times New Roman" w:cs="Times New Roman" w:eastAsia="Times New Roman" w:hAnsi="Times New Roman"/>
          <w:sz w:val="18"/>
          <w:szCs w:val="18"/>
          <w:color w:val="auto"/>
        </w:rPr>
      </w:pPr>
    </w:p>
    <w:p>
      <w:pPr>
        <w:ind w:left="780" w:right="320" w:hanging="128"/>
        <w:spacing w:after="0" w:line="282" w:lineRule="auto"/>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associated with the expansion of our operational, financial and management systems and increased personnel, including personnel to support our operations as a public company; and</w:t>
      </w:r>
    </w:p>
    <w:p>
      <w:pPr>
        <w:spacing w:after="0" w:line="53" w:lineRule="exact"/>
        <w:rPr>
          <w:rFonts w:ascii="Times New Roman" w:cs="Times New Roman" w:eastAsia="Times New Roman" w:hAnsi="Times New Roman"/>
          <w:sz w:val="18"/>
          <w:szCs w:val="18"/>
          <w:color w:val="auto"/>
        </w:rPr>
      </w:pPr>
    </w:p>
    <w:p>
      <w:pPr>
        <w:ind w:left="780" w:right="40" w:hanging="128"/>
        <w:spacing w:after="0" w:line="282" w:lineRule="auto"/>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and distribution capabilities for any product candidates for which we may receive regulatory approval in regions where we choose to commercialize our products, if approved, on our own.</w:t>
      </w:r>
    </w:p>
    <w:p>
      <w:pPr>
        <w:spacing w:after="0" w:line="16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Based on our available cash, cash equivalents, and marketable securities, and our current operating plans excluding any financing, we expect to be able to fund our operating expenses and capital expenditure requirements into the second quarter of 2026. We have concluded that there is substantial doubt about our ability to continue as a going concern beyond one year from the issuance of these financial statements, and we will require additional financing to support our operations, which we may be unable to obtain on favorable terms or at all. We have based this estimate on assumptions that may prove to be wrong, and we may use our available capital resources sooner than we currently expect. Our future capital requirements will depend on many factors, including:</w:t>
      </w:r>
    </w:p>
    <w:p>
      <w:pPr>
        <w:spacing w:after="0" w:line="79" w:lineRule="exact"/>
        <w:rPr>
          <w:sz w:val="20"/>
          <w:szCs w:val="20"/>
          <w:color w:val="auto"/>
        </w:rPr>
      </w:pPr>
    </w:p>
    <w:p>
      <w:pPr>
        <w:ind w:left="780" w:hanging="128"/>
        <w:spacing w:after="0"/>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product discovery, preclinical studies and clinical trials;</w:t>
      </w:r>
    </w:p>
    <w:p>
      <w:pPr>
        <w:spacing w:after="0" w:line="117" w:lineRule="exact"/>
        <w:rPr>
          <w:rFonts w:ascii="Times New Roman" w:cs="Times New Roman" w:eastAsia="Times New Roman" w:hAnsi="Times New Roman"/>
          <w:sz w:val="18"/>
          <w:szCs w:val="18"/>
          <w:color w:val="auto"/>
        </w:rPr>
      </w:pPr>
    </w:p>
    <w:p>
      <w:pPr>
        <w:ind w:left="780" w:hanging="128"/>
        <w:spacing w:after="0"/>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prioritization and number of our research and development programs;</w:t>
      </w:r>
    </w:p>
    <w:p>
      <w:pPr>
        <w:spacing w:after="0" w:line="117" w:lineRule="exact"/>
        <w:rPr>
          <w:rFonts w:ascii="Times New Roman" w:cs="Times New Roman" w:eastAsia="Times New Roman" w:hAnsi="Times New Roman"/>
          <w:sz w:val="18"/>
          <w:szCs w:val="18"/>
          <w:color w:val="auto"/>
        </w:rPr>
      </w:pPr>
    </w:p>
    <w:p>
      <w:pPr>
        <w:ind w:left="780" w:hanging="128"/>
        <w:spacing w:after="0"/>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780" w:hanging="128"/>
        <w:spacing w:after="0"/>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on favorable terms, if at all;</w:t>
      </w:r>
    </w:p>
    <w:p>
      <w:pPr>
        <w:spacing w:after="0" w:line="117" w:lineRule="exact"/>
        <w:rPr>
          <w:rFonts w:ascii="Times New Roman" w:cs="Times New Roman" w:eastAsia="Times New Roman" w:hAnsi="Times New Roman"/>
          <w:sz w:val="18"/>
          <w:szCs w:val="18"/>
          <w:color w:val="auto"/>
        </w:rPr>
      </w:pPr>
    </w:p>
    <w:p>
      <w:pPr>
        <w:ind w:left="780" w:hanging="128"/>
        <w:spacing w:after="0"/>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obligated to reimburse, or entitled to reimbursement of, clinical trial costs under collaboration agreements, if any;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2" w:name="page23"/>
    <w:bookmarkEnd w:id="22"/>
    <w:p>
      <w:pPr>
        <w:ind w:left="780" w:right="560" w:hanging="128"/>
        <w:spacing w:after="0" w:line="282" w:lineRule="auto"/>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53" w:lineRule="exact"/>
        <w:rPr>
          <w:rFonts w:ascii="Times New Roman" w:cs="Times New Roman" w:eastAsia="Times New Roman" w:hAnsi="Times New Roman"/>
          <w:sz w:val="18"/>
          <w:szCs w:val="18"/>
          <w:color w:val="auto"/>
        </w:rPr>
      </w:pPr>
    </w:p>
    <w:p>
      <w:pPr>
        <w:ind w:left="780" w:hanging="128"/>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 candidates and technologies;</w:t>
      </w:r>
    </w:p>
    <w:p>
      <w:pPr>
        <w:spacing w:after="0" w:line="117" w:lineRule="exact"/>
        <w:rPr>
          <w:rFonts w:ascii="Times New Roman" w:cs="Times New Roman" w:eastAsia="Times New Roman" w:hAnsi="Times New Roman"/>
          <w:sz w:val="18"/>
          <w:szCs w:val="18"/>
          <w:color w:val="auto"/>
        </w:rPr>
      </w:pPr>
    </w:p>
    <w:p>
      <w:pPr>
        <w:ind w:left="780" w:hanging="128"/>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securing manufacturing arrangements for commercial production; and</w:t>
      </w:r>
    </w:p>
    <w:p>
      <w:pPr>
        <w:spacing w:after="0" w:line="117" w:lineRule="exact"/>
        <w:rPr>
          <w:rFonts w:ascii="Times New Roman" w:cs="Times New Roman" w:eastAsia="Times New Roman" w:hAnsi="Times New Roman"/>
          <w:sz w:val="18"/>
          <w:szCs w:val="18"/>
          <w:color w:val="auto"/>
        </w:rPr>
      </w:pPr>
    </w:p>
    <w:p>
      <w:pPr>
        <w:ind w:left="780" w:hanging="128"/>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establishing or contracting for sales and marketing capabilities if we obtain regulatory approvals to market our product candidates.</w:t>
      </w:r>
    </w:p>
    <w:p>
      <w:pPr>
        <w:spacing w:after="0" w:line="225"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operations through a combination of equity offerings, debt financings, collaborations, strategic alliances and marketing, distribution or licensing arrangements. We do not currently have any committed external source of funds. To the extent that we raise additional capital through the sale of equity or convertible debt securities, your ownership interest may be materially diluted, and the terms of such securities could include liquidation or other preferences that adversely affect your rights as a common stockholder. Debt financing and preferred equity financing, if available, may involve agreements that include restrictive covenants limiting or restricting our ability to take specific actions, such as incurring additional debt, making capital expenditures or declaring dividends. In addition, debt financing would result in fixed payment obligations.</w:t>
      </w:r>
    </w:p>
    <w:p>
      <w:pPr>
        <w:spacing w:after="0" w:line="189"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marketing, distribution or licensing arrangements with third parties, we may have to relinquish valuable rights to our future revenue streams, research programs or product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develop and market product candidates that we would otherwise prefer to develop and market ourselves.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Judgements and Estimates</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is based on our financial statements, which are prepared in accordance with US GAAP. The preparation of our financial statements requires us to make estimates, assumptions and judgments that affect the reported amounts of assets, liabilities, costs and expenses. We base our estimates and assumptions on historical experience and other factors that we believe to be reasonable under the circumstances. We evaluate our estimates and assumptions on an ongoing basis. Our actual results may differ from these estimates.</w:t>
      </w:r>
    </w:p>
    <w:p>
      <w:pPr>
        <w:spacing w:after="0" w:line="183"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define our critical accounting policies as those accounting principles that require us to make subjective estimates and judgments about matters that are uncertain and are likely to have a material impact on our financial condition and results of operations, as well as the specific manner in which we apply those principles. During the three months ended March 31, 2025, there were no significant changes to our critical accounting policies disclosed in our audited financial statements for the year ended December 31, 2024, which are included in our Annual Report on Form 10-K, as filed with the SEC on March 28, 2025.</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540" w:firstLine="509"/>
        <w:spacing w:after="0" w:line="266" w:lineRule="auto"/>
        <w:rPr>
          <w:sz w:val="20"/>
          <w:szCs w:val="20"/>
          <w:color w:val="auto"/>
        </w:rPr>
      </w:pPr>
      <w:r>
        <w:rPr>
          <w:rFonts w:ascii="Times New Roman" w:cs="Times New Roman" w:eastAsia="Times New Roman" w:hAnsi="Times New Roman"/>
          <w:sz w:val="18"/>
          <w:szCs w:val="18"/>
          <w:color w:val="auto"/>
        </w:rPr>
        <w:t>See Note 2 in our condensed consolidated financial statements included elsewhere in this Form 10-Q for a description of recent accounting pronouncements applicable to our financial statements. Other than as disclosed in our financial statements, we do not expect that any recently issued accounting standards will have a material impact on our financial statements or will otherwise apply to our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121" w:lineRule="exact"/>
        <w:rPr>
          <w:sz w:val="20"/>
          <w:szCs w:val="20"/>
          <w:color w:val="auto"/>
        </w:rPr>
      </w:pPr>
    </w:p>
    <w:p>
      <w:pPr>
        <w:ind w:right="520" w:firstLine="509"/>
        <w:spacing w:after="0" w:line="261" w:lineRule="auto"/>
        <w:rPr>
          <w:sz w:val="20"/>
          <w:szCs w:val="20"/>
          <w:color w:val="auto"/>
        </w:rPr>
      </w:pPr>
      <w:r>
        <w:rPr>
          <w:rFonts w:ascii="Times New Roman" w:cs="Times New Roman" w:eastAsia="Times New Roman" w:hAnsi="Times New Roman"/>
          <w:sz w:val="18"/>
          <w:szCs w:val="18"/>
          <w:color w:val="auto"/>
        </w:rPr>
        <w:t>We qualify as an Emerging Growth Company ("EGC"), as defined in the JOBS Act. As an EGC, we may take advantage of specified reduced disclosure and other requirements that are otherwise applicable generally to public companies, including reduced disclosure about our executive compensation arrangements, exemption from the requirements to hold non-binding advisory votes on executive compensation and golden parachute payments and exemption from the auditor attestation requirement in the assessment of our internal control over financial reporting.</w:t>
      </w:r>
    </w:p>
    <w:p>
      <w:pPr>
        <w:spacing w:after="0" w:line="180"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We may take advantage of these exemptions until the last day of the fiscal year following the fifth anniversary of our initial public offering or such earlier time that we are no longer an emerging growth company. We would cease to be an EGC earlier if we have more than $1.235 billion in annual revenue, we have more than $700.0 million in market value of our stock held by non-affiliates (and we have been a public company for at least 12 months and have filed one annual report on Form 10-K) or we issue more than $1.0 billion of non-convertible debt securities over a three-year period. For so long as we remain an EGC, we are permitted, and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3" w:name="page24"/>
    <w:bookmarkEnd w:id="23"/>
    <w:p>
      <w:pPr>
        <w:ind w:right="20"/>
        <w:spacing w:after="0" w:line="282" w:lineRule="auto"/>
        <w:rPr>
          <w:sz w:val="20"/>
          <w:szCs w:val="20"/>
          <w:color w:val="auto"/>
        </w:rPr>
      </w:pPr>
      <w:r>
        <w:rPr>
          <w:rFonts w:ascii="Times New Roman" w:cs="Times New Roman" w:eastAsia="Times New Roman" w:hAnsi="Times New Roman"/>
          <w:sz w:val="18"/>
          <w:szCs w:val="18"/>
          <w:color w:val="auto"/>
        </w:rPr>
        <w:t>intend, to rely on exemptions from certain disclosure requirements that are applicable to other public companies that are not EGCs. We may choose to take advantage of some, but not all, of the available exemptions.</w:t>
      </w:r>
    </w:p>
    <w:p>
      <w:pPr>
        <w:spacing w:after="0" w:line="16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addition, the JOBS Act provides that an EGC can take advantage of an extended transition period for complying with new or revised accounting standards. This allows an EGC to delay the adoption of certain accounting standards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EGC. Therefore, the reported results of operations contained in our condensed consolidated financial statements may not be directly comparable to those of other public companies.</w:t>
      </w:r>
    </w:p>
    <w:p>
      <w:pPr>
        <w:spacing w:after="0" w:line="18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are also a “smaller reporting company,”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is less than $100 million during the most recently completed fiscal year and the market value of our stock held by non-affiliates is less than $700 million.</w:t>
      </w:r>
    </w:p>
    <w:p>
      <w:pPr>
        <w:spacing w:after="0" w:line="180"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If we are a smaller reporting company at the time we cease to be an EGC,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EGCs, smaller reporting companies have reduced disclosure obligations regarding executive compensation.</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Item 10 of Regulation S-K and are not required to provide the information otherwise required under this item.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Controls and Procedures</w:t>
      </w:r>
    </w:p>
    <w:p>
      <w:pPr>
        <w:spacing w:after="0" w:line="119"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The term “disclosure controls and procedures,” as defined in Rules 13a-15(e) and 15d-15(e) under the Securities Exchange Act of 1934, as amended, or the Exchange Act, refers to controls and other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a company’s management, including its principal executive and principal financial officers, or persons performing similar functions, as appropriate to allow timely decisions regarding required disclosure.</w:t>
      </w:r>
    </w:p>
    <w:p>
      <w:pPr>
        <w:spacing w:after="0" w:line="18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control system, misstatements due to error or fraud may occur and not be detected.</w:t>
      </w:r>
    </w:p>
    <w:p>
      <w:pPr>
        <w:spacing w:after="0" w:line="18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the effectiveness of our disclosure controls and procedures as of March 31, 2025. Based on this evaluation, our principal executive officer and principal financial officer concluded that our disclosure controls and procedures were effective at the reasonable assurance level as of March 31, 2025.</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There were no material changes in our internal control over financial reporting (as defined in Rules 13a-15(f) and 15d-15(f) under the Exchange Act) that occurred during the three months ended March 31, 2025 which have materially affected, or are reasonably likely to materially affect, our internal control over financial reporting.</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5" w:right="399" w:bottom="1440" w:gutter="0" w:footer="0" w:header="0"/>
        </w:sectPr>
      </w:pPr>
    </w:p>
    <w:bookmarkStart w:id="25" w:name="page26"/>
    <w:bookmarkEnd w:id="2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We are not currently a party to any material legal proceedings. From time to time, we may become involved in other litigation or legal proceedings relating to claims arising from the ordinary course of business.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You should carefully consider the risks described below, as well as general economic and business risks and the other information in this Quarterly Report on Form 10-Q. The occurrence of any of the events or circumstances described below or other adverse events could have a material adverse effect on our business, results of operations and financial condition and could cause the trading price of our common stock to decline. Additional risks or uncertainties not presently known to us or that we currently deem immaterial may also harm our business.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21"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The risk factors summarized below could materially harm our business, operating results, and/or financial condition, impair our future prospects, and/or cause the price of our common stock to decline. These risks are discussed more fully below. Material risks that may affect our business, financial condition, results of operations, and trading price of our common stock include the following:</w:t>
      </w:r>
    </w:p>
    <w:p>
      <w:pPr>
        <w:spacing w:after="0" w:line="64" w:lineRule="exact"/>
        <w:rPr>
          <w:sz w:val="20"/>
          <w:szCs w:val="20"/>
          <w:color w:val="auto"/>
        </w:rPr>
      </w:pPr>
    </w:p>
    <w:p>
      <w:pPr>
        <w:ind w:left="520" w:hanging="257"/>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Risks Related to our Financial Position</w:t>
      </w:r>
    </w:p>
    <w:p>
      <w:pPr>
        <w:spacing w:after="0" w:line="121"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additional funding to complete the development of our product candidates. A failure to obtain this necessary capital when needed could force us to delay, limit, reduce or terminate our product development or commercialization efforts.</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in every year since our inception. We expect to continue to incur losses over the next several years and may never achieve or maintain profitability.</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currently have sufficient working capital to fund our planned operations for the next twelve months and substantial doubt exists as to our ability to continue as a going concern.</w:t>
      </w:r>
    </w:p>
    <w:p>
      <w:pPr>
        <w:spacing w:after="0" w:line="49"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Risks Related to the Development of our Product Candidates</w:t>
      </w:r>
    </w:p>
    <w:p>
      <w:pPr>
        <w:spacing w:after="0" w:line="121"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development efforts are in the early stages. If we are unable to advance our product candidates through clinical development, obtain regulatory approval and ultimately commercialize our product candidates, or experience significant delays in doing so, our business will be materially harmed.</w:t>
      </w:r>
    </w:p>
    <w:p>
      <w:pPr>
        <w:spacing w:after="0" w:line="67" w:lineRule="exact"/>
        <w:rPr>
          <w:rFonts w:ascii="Times New Roman" w:cs="Times New Roman" w:eastAsia="Times New Roman" w:hAnsi="Times New Roman"/>
          <w:sz w:val="18"/>
          <w:szCs w:val="18"/>
          <w:color w:val="auto"/>
        </w:rPr>
      </w:pPr>
    </w:p>
    <w:p>
      <w:pPr>
        <w:ind w:left="1020" w:hanging="503"/>
        <w:spacing w:after="0" w:line="277" w:lineRule="auto"/>
        <w:tabs>
          <w:tab w:leader="none" w:pos="102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is highly dependent on the success of our product candidates that we advance into the clinic. All our product candidates will require significant additional preclinical, clinical and manufacturing development before we may be able to seek regulatory approval for and launch a product commercially. If the clinical trials of any of our product candidates fail to demonstrate safety and efficacy to the satisfaction of the FDA or other comparable regulatory authorities, or do not otherwise produce favorable results, we may incur additional costs or experience delays in completing, or ultimately be unable to complete, the development and commercialization of our product candidates.</w:t>
      </w:r>
    </w:p>
    <w:p>
      <w:pPr>
        <w:spacing w:after="0" w:line="59" w:lineRule="exact"/>
        <w:rPr>
          <w:rFonts w:ascii="Times New Roman" w:cs="Times New Roman" w:eastAsia="Times New Roman" w:hAnsi="Times New Roman"/>
          <w:sz w:val="17"/>
          <w:szCs w:val="17"/>
          <w:color w:val="auto"/>
        </w:rPr>
      </w:pPr>
    </w:p>
    <w:p>
      <w:pPr>
        <w:ind w:left="1020" w:right="160" w:hanging="503"/>
        <w:spacing w:after="0" w:line="282" w:lineRule="auto"/>
        <w:tabs>
          <w:tab w:leader="none" w:pos="10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data from our clinical trials that we announce or publish from time to time may change as more patients are enrolled and additional data become available.</w:t>
      </w:r>
    </w:p>
    <w:p>
      <w:pPr>
        <w:spacing w:after="0" w:line="53"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depend on timely enrollment of patients in our clinical trials for our product candidates. If we encounter difficulties enrolling patients in our clinical trials, our clinical development activities could be delayed or otherwise adversely affected.</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are difficult to design and implement, can be lengthy and expensive, involve uncertain outcomes and may not ultimately be successful.</w:t>
      </w:r>
    </w:p>
    <w:p>
      <w:pPr>
        <w:spacing w:after="0" w:line="49"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Risks Related to our Dependence on Third Parties</w:t>
      </w:r>
    </w:p>
    <w:p>
      <w:pPr>
        <w:spacing w:after="0" w:line="121"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collaborate with third parties in connection with the development of our product candidates, and may depend upon future collaboration partners to commit to the research, development, manufacturing and marketing of our product candidates.</w:t>
      </w:r>
    </w:p>
    <w:p>
      <w:pPr>
        <w:spacing w:after="0" w:line="53" w:lineRule="exact"/>
        <w:rPr>
          <w:rFonts w:ascii="Times New Roman" w:cs="Times New Roman" w:eastAsia="Times New Roman" w:hAnsi="Times New Roman"/>
          <w:sz w:val="18"/>
          <w:szCs w:val="18"/>
          <w:color w:val="auto"/>
        </w:rPr>
      </w:pPr>
    </w:p>
    <w:p>
      <w:pPr>
        <w:jc w:val="both"/>
        <w:ind w:left="1020" w:right="300" w:hanging="503"/>
        <w:spacing w:after="0" w:line="266" w:lineRule="auto"/>
        <w:tabs>
          <w:tab w:leader="none" w:pos="10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and expect to continue to rely, on third parties to conduct the preclinical and clinical trials for our product candidates, and those third parties may not perform satisfactorily, including failing to meet deadlines for the completion of such trials or failing to comply with applicable regulatory requirements.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26" w:name="page27"/>
    <w:bookmarkEnd w:id="26"/>
    <w:p>
      <w:pPr>
        <w:ind w:left="520" w:hanging="257"/>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Risks Related to Regulatory Approval of our Product Candidates and Other Legal Compliance Matters</w:t>
      </w:r>
    </w:p>
    <w:p>
      <w:pPr>
        <w:spacing w:after="0" w:line="12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Healthcare legislative reform measures may have a material adverse effect on our business and results of operations.</w:t>
      </w:r>
    </w:p>
    <w:p>
      <w:pPr>
        <w:spacing w:after="0" w:line="11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Risks Related to the Commercialization of our Product Candidates</w:t>
      </w:r>
    </w:p>
    <w:p>
      <w:pPr>
        <w:spacing w:after="0" w:line="121"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establish sales, marketing and distribution capabilities for our product candidates, or enter into sales, marketing and distribution agreements with third parties, we may not be successful in commercializing our product candidates, if approved.</w:t>
      </w:r>
    </w:p>
    <w:p>
      <w:pPr>
        <w:spacing w:after="0" w:line="53" w:lineRule="exact"/>
        <w:rPr>
          <w:rFonts w:ascii="Times New Roman" w:cs="Times New Roman" w:eastAsia="Times New Roman" w:hAnsi="Times New Roman"/>
          <w:sz w:val="18"/>
          <w:szCs w:val="18"/>
          <w:color w:val="auto"/>
        </w:rPr>
      </w:pPr>
    </w:p>
    <w:p>
      <w:pPr>
        <w:ind w:left="1020" w:right="840" w:hanging="503"/>
        <w:spacing w:after="0" w:line="282" w:lineRule="auto"/>
        <w:tabs>
          <w:tab w:leader="none" w:pos="10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rapidly changing industry and face significant competition, which may result in others discovering, developing or commercializing products before or more successfully than we do.</w:t>
      </w:r>
    </w:p>
    <w:p>
      <w:pPr>
        <w:spacing w:after="0" w:line="53"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any of our product candidates receives marketing approval, it may fail to achieve the degree of market acceptance by physicians, patients, third-party payors and others in the medical community necessary for commercial success.</w:t>
      </w:r>
    </w:p>
    <w:p>
      <w:pPr>
        <w:spacing w:after="0" w:line="49"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Risks Related to our Intellectual Property</w:t>
      </w:r>
    </w:p>
    <w:p>
      <w:pPr>
        <w:spacing w:after="0" w:line="121"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patent protection for our technologies and product candidates, including solnerstotug, or if the scope of the patent protection obtained is not sufficiently broad, our competitors could develop and commercialize technology and biologics similar or identical to ours, and our ability to successfully commercialize our technology and product candidates may be impaired.</w:t>
      </w:r>
    </w:p>
    <w:p>
      <w:pPr>
        <w:spacing w:after="0" w:line="6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initiate legal proceedings alleging that we are infringing their intellectual property rights, the outcome of which would be uncertain and could significantly harm our business.</w:t>
      </w:r>
    </w:p>
    <w:p>
      <w:pPr>
        <w:spacing w:after="0" w:line="49"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Risks Related to our Business Operations</w:t>
      </w:r>
    </w:p>
    <w:p>
      <w:pPr>
        <w:spacing w:after="0" w:line="12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grow the size of our organization, and we may experience difficulties in managing this growth.</w:t>
      </w:r>
    </w:p>
    <w:p>
      <w:pPr>
        <w:spacing w:after="0" w:line="117" w:lineRule="exact"/>
        <w:rPr>
          <w:rFonts w:ascii="Times New Roman" w:cs="Times New Roman" w:eastAsia="Times New Roman" w:hAnsi="Times New Roman"/>
          <w:sz w:val="18"/>
          <w:szCs w:val="18"/>
          <w:color w:val="auto"/>
        </w:rPr>
      </w:pPr>
    </w:p>
    <w:p>
      <w:pPr>
        <w:ind w:left="1020" w:right="760" w:hanging="503"/>
        <w:spacing w:after="0" w:line="282" w:lineRule="auto"/>
        <w:tabs>
          <w:tab w:leader="none" w:pos="10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success depends on our ability to retain key members of senior management and to attract, retain and motivate qualified personnel.</w:t>
      </w:r>
    </w:p>
    <w:p>
      <w:pPr>
        <w:spacing w:after="0" w:line="49"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Risks Related to our Securities and our Status as a Public Company</w:t>
      </w:r>
    </w:p>
    <w:p>
      <w:pPr>
        <w:spacing w:after="0" w:line="12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our common stock may be volatile, and you could lose all or part of your investment.</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operations could be negatively affected by any securities litigation or shareholder activism, which could cause us to incur significant expense, hinder execution of business and growth strategies and impact our share price.</w:t>
      </w:r>
    </w:p>
    <w:p>
      <w:pPr>
        <w:spacing w:after="0" w:line="53"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an effective system of internal control over financial reporting which results in material weaknesses, we may be unable to accurately report our results of operations, meet our reporting obligations or prevent fraud and investor confidence in our company and the market price of our common stock may be materially and adversely affected.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w:t>
      </w:r>
    </w:p>
    <w:p>
      <w:pPr>
        <w:spacing w:after="0" w:line="117" w:lineRule="exact"/>
        <w:rPr>
          <w:sz w:val="20"/>
          <w:szCs w:val="20"/>
          <w:color w:val="auto"/>
        </w:rPr>
      </w:pPr>
    </w:p>
    <w:p>
      <w:pPr>
        <w:ind w:left="26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additional funding to complete the development of our product candidates. A failure to obtain this necessary capital when needed could force us to delay, limit, reduce or terminate our product development or commercialization efforts.</w:t>
      </w:r>
    </w:p>
    <w:p>
      <w:pPr>
        <w:spacing w:after="0" w:line="51"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We will require substantial additional funding to meet our financial needs and to pursue our business objectives. If we are unable to raise capital when needed, we could be forced to delay, reduce or altogether cease our product development programs or commercialization efforts.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117" w:lineRule="exact"/>
        <w:rPr>
          <w:sz w:val="20"/>
          <w:szCs w:val="20"/>
          <w:color w:val="auto"/>
        </w:rPr>
      </w:pPr>
    </w:p>
    <w:p>
      <w:pPr>
        <w:ind w:left="1020" w:right="8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discovery, laboratory testing, manufacturing, preclinical and clinical development of our current and future product candidates;</w:t>
      </w:r>
    </w:p>
    <w:p>
      <w:pPr>
        <w:spacing w:after="0" w:line="53"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amounts of any milestone or royalty payments we may be required to make or may be entitled to receive under license agreements;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building out our infrastructure including hiring additional clinical, quality control and manufacturing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marketing, sales and distribution, for any of our product candidates for which we receive marketing approval;</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27" w:name="page28"/>
    <w:bookmarkEnd w:id="27"/>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our product candidates for which we receive marketing approval;</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 candidates and technologies.</w:t>
      </w:r>
    </w:p>
    <w:p>
      <w:pPr>
        <w:spacing w:after="0" w:line="117"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To date, we have primarily financed our operations through the sale of equity securities. We may seek to raise any necessary additional capital through a combination of public or private equity offerings, debt financings, collaborations, strategic alliances, licensing arrangements and other marketing and distribution arrangements. We cannot assure you that we will be successful in acquiring additional funding at levels sufficient to fund our operations or on terms favorable to us. While the long-term economic impact of international conflicts and recent and potential future disruptions in access to bank deposits or lending commitments due to bank failures are difficult to assess or predict, each of these events has caused significant disruptions to the global financial markets and contributed to a general global economic slowdown. Furthermore, increased inflation may result in increased operating costs (including labor costs) and may affect our operating budgets. In addition, the U.S. Federal Reserve has raised, and may in the future further raise, interest rates in response to concerns about inflation. Increases in interest rates, especially if coupled with reduced government spending and volatility in financial markets, may further increase economic uncertainty and heighten these risks. If the disruptions and slowdown deepen or persist, we may not be able to access additional capital on favorable terms, or at all, which could in the future negatively affect our financial condition and our ability to pursue our business strategy.</w:t>
      </w:r>
    </w:p>
    <w:p>
      <w:pPr>
        <w:spacing w:after="0" w:line="84" w:lineRule="exact"/>
        <w:rPr>
          <w:sz w:val="20"/>
          <w:szCs w:val="20"/>
          <w:color w:val="auto"/>
        </w:rPr>
      </w:pPr>
    </w:p>
    <w:p>
      <w:pPr>
        <w:jc w:val="both"/>
        <w:ind w:right="140" w:firstLine="509"/>
        <w:spacing w:after="0" w:line="261" w:lineRule="auto"/>
        <w:rPr>
          <w:sz w:val="20"/>
          <w:szCs w:val="20"/>
          <w:color w:val="auto"/>
        </w:rPr>
      </w:pPr>
      <w:r>
        <w:rPr>
          <w:rFonts w:ascii="Times New Roman" w:cs="Times New Roman" w:eastAsia="Times New Roman" w:hAnsi="Times New Roman"/>
          <w:sz w:val="18"/>
          <w:szCs w:val="18"/>
          <w:color w:val="auto"/>
        </w:rPr>
        <w:t>We cannot be certain that additional funding will be available on acceptable terms, or at all. If we are unable to raise additional capital in sufficient amounts or on terms acceptable to us, we may have to significantly delay, scale back or discontinue the development or commercialization of our product candidates or other research and development initiatives. Any of our current or future license agreements may also be terminated if we are unable to meet the payment or other obligations under the agreements.</w:t>
      </w:r>
    </w:p>
    <w:p>
      <w:pPr>
        <w:spacing w:after="0" w:line="68" w:lineRule="exact"/>
        <w:rPr>
          <w:sz w:val="20"/>
          <w:szCs w:val="20"/>
          <w:color w:val="auto"/>
        </w:rPr>
      </w:pPr>
    </w:p>
    <w:p>
      <w:pPr>
        <w:ind w:right="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5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We expect that significant additional capital may be needed in the future to continue our planned operations, including conducting clinical trials, commercialization efforts, expanded research and development activities and costs associated with operating a public company. For example, although we have disclosed plans to initiate a Phase 2 clinical trial of solnerstotug in the first quarter of 2026, those plans are contingent upon our ability to raise sufficient additional capital. Until such time, if ever, as we can generate substantial product revenues, we expect to finance our cash needs through any or a combination of securities offerings, debt financings, license and collaboration agreements and research grants. If we raise capital through securities offerings, such sales are likely to result in material dilution to our existing stockholders, and new investors could gain rights, preferences and privileges senior to the holders of our common stock.</w:t>
      </w:r>
    </w:p>
    <w:p>
      <w:pPr>
        <w:spacing w:after="0" w:line="8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To the extent that we raise additional capital through the sale of equity, warrants to purchase equity, and/or convertible debt securities, your ownership interest will be diluted, and the terms of these securities may include liquidation or other preferences that adversely affect your rights as a stockholder. Debt financing and preferred equity financing, if available, could result in fixed payment obligations, and we may be required to accept terms that restrict our ability to incur additional indebtedness, force us to maintain specified liquidity or other ratios or restrict our ability to pay dividends or make acquisitions.</w:t>
      </w:r>
    </w:p>
    <w:p>
      <w:pPr>
        <w:spacing w:after="0" w:line="75"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 In addition, we could also be required to seek funds through arrangements with collaborators or others at an earlier stage than otherwise would be desirable. If we raise funds through research grants, we may be subject to certain requirements, which may limit our ability to use the funds or require us to share information from our research and development. If we are unable to raise additional funds through equity or debt financings when needed, we may be required to delay, limit, reduce or terminate our product development or future commercialization efforts or grant rights to a third party to develop and market product candidates that we would otherwise prefer to develop and market ourselves. Raising additional capital through any of these or other means could adversely affect our business and the holdings or rights of our stockholders, and may cause the market price of our common stock to decline.</w:t>
      </w:r>
    </w:p>
    <w:p>
      <w:pPr>
        <w:spacing w:after="0" w:line="8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we may seek additional capital due to favorable market conditions or strategic considerations even if we believe that we have sufficient funds for our current or future operating plans. If we raise additional funds through collaboration and licensing arrangements with third parties, we may have to relinquish some rights to our technologies or our product candidates on terms that are not favorable to us. Any additional capital raising efforts may divert our management from their day-to-day activities, which may adversely affect our ability to develop and commercialize our current and future product candidates, if approved. If we are unable to raise capital when needed or on attractive terms, we could be forced to delay, reduce or altogether cease our research and development</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programs or future commercialization efforts.</w:t>
      </w:r>
    </w:p>
    <w:p>
      <w:pPr>
        <w:spacing w:after="0" w:line="113" w:lineRule="exact"/>
        <w:rPr>
          <w:sz w:val="20"/>
          <w:szCs w:val="20"/>
          <w:color w:val="auto"/>
        </w:rPr>
      </w:pPr>
    </w:p>
    <w:p>
      <w:pPr>
        <w:ind w:left="26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in every year since our inception. We expect to continue to incur losses over the next several years and may never achieve or maintain profitability.</w:t>
      </w:r>
    </w:p>
    <w:p>
      <w:pPr>
        <w:spacing w:after="0" w:line="51" w:lineRule="exact"/>
        <w:rPr>
          <w:sz w:val="20"/>
          <w:szCs w:val="20"/>
          <w:color w:val="auto"/>
        </w:rPr>
      </w:pPr>
    </w:p>
    <w:p>
      <w:pPr>
        <w:jc w:val="both"/>
        <w:ind w:right="280" w:firstLine="509"/>
        <w:spacing w:after="0" w:line="266" w:lineRule="auto"/>
        <w:rPr>
          <w:sz w:val="20"/>
          <w:szCs w:val="20"/>
          <w:color w:val="auto"/>
        </w:rPr>
      </w:pPr>
      <w:r>
        <w:rPr>
          <w:rFonts w:ascii="Times New Roman" w:cs="Times New Roman" w:eastAsia="Times New Roman" w:hAnsi="Times New Roman"/>
          <w:sz w:val="18"/>
          <w:szCs w:val="18"/>
          <w:color w:val="auto"/>
        </w:rPr>
        <w:t>We have incurred significant net losses since our inception. Our net loss was $6.9 million and $8.0 million for the three months ended March 31, 2025 and 2024, respectively. As of March 31, 2025, we had an accumulated deficit of $268.9 million. We have funded our operations to date primarily with proceeds from the sale of our equity securities and borrowings of convertible debt.</w:t>
      </w:r>
    </w:p>
    <w:p>
      <w:pPr>
        <w:spacing w:after="0" w:line="68" w:lineRule="exact"/>
        <w:rPr>
          <w:sz w:val="20"/>
          <w:szCs w:val="20"/>
          <w:color w:val="auto"/>
        </w:rPr>
      </w:pPr>
    </w:p>
    <w:p>
      <w:pPr>
        <w:ind w:right="340" w:firstLine="509"/>
        <w:spacing w:after="0" w:line="261" w:lineRule="auto"/>
        <w:rPr>
          <w:sz w:val="20"/>
          <w:szCs w:val="20"/>
          <w:color w:val="auto"/>
        </w:rPr>
      </w:pPr>
      <w:r>
        <w:rPr>
          <w:rFonts w:ascii="Times New Roman" w:cs="Times New Roman" w:eastAsia="Times New Roman" w:hAnsi="Times New Roman"/>
          <w:sz w:val="18"/>
          <w:szCs w:val="18"/>
          <w:color w:val="auto"/>
        </w:rPr>
        <w:t>We have no products approved for commercial sale, have not generated any revenue from commercial sales of our product candidates, and are devoting substantially all of our financial resources and efforts to research and development of solnerstotug and our TMAb platform. Investment in therapeutic product development is highly speculative because it entails substantial upfront capital expenditures and significant risk that any potential product candidate will fail to demonstrate adequate effect or an acceptable safety profile, gain regulatory approval and/or become commercially viable.</w:t>
      </w:r>
    </w:p>
    <w:p>
      <w:pPr>
        <w:spacing w:after="0" w:line="7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expect that it will take at least several years until any of our product candidates receive marketing approval and are commercialized, and we may never be successful in obtaining marketing approval and commercializing product candidates. We expect to continue to incur significant expenses and increasing operating losses for the foreseeable future. These net losses will adversely impact our stockholders’ equity and net assets and may fluctuate significantly from quarter to quarter and year to year. We anticipate that our expenses will increase substantially as we:</w:t>
      </w:r>
    </w:p>
    <w:p>
      <w:pPr>
        <w:spacing w:after="0" w:line="72"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to file INDs, initiate clinical trials and progress clinical development of our product candidates, including solnerstotug;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resume the research and development of our other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in our TMAb platform;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discover and develop additional product candidates or acquire or in-license drugs, product candidates or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ultimately establish a sales, marketing and distribution infrastructure and scale up manufacturing capabilities to commercialize any product candidates for which we may obtain regulatory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the clinical and commercial supply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research and development and selling, general and administrative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costs associated with operating as a public company.</w:t>
      </w:r>
    </w:p>
    <w:p>
      <w:pPr>
        <w:spacing w:after="0" w:line="117"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To become and remain profitable, we must succeed in developing and eventually commercializing products that generate significant revenue. Achievement will require us to be successful in a range of challenging activities, including completing preclinical studies and clinical trials of our product candidates, obtaining regulatory approval, manufacturing, marketing and selling any products for which we may obtain regulatory approval, as well as discovering and developing additional product candidates. We may never succeed in these activities and, even if we do, may never generate revenues that are significant enough to achieve profitability.</w:t>
      </w:r>
    </w:p>
    <w:p>
      <w:pPr>
        <w:spacing w:after="0" w:line="75"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the development and commercialization of therapeutic product candidates, we are unable to accurately predict the timing or amount of expenses or when, or if, we will be able to achieve and maintain profitability. If we are required by regulatory authorities to perform studies in addition to those currently expected, or if there are any delays in the initiation and completion of our clinical trials or the development of any of our product candidates, our expenses could increase and profitability could be further delayed.</w:t>
      </w:r>
    </w:p>
    <w:p>
      <w:pPr>
        <w:spacing w:after="0" w:line="72"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the development and commercialization of therapeutic product candidates, we are unable to accurately predict the timing or amount of expenses or when, or if, we will be able to achieve and maintain profitability. If we are required by regulatory authorities to perform studies in addition to those currently expected, or if there are any delays in the initiation and completion of our clinical trials or the development of any of our product candidates, our expenses could increase and profitability could be further delayed.</w:t>
      </w:r>
    </w:p>
    <w:p>
      <w:pPr>
        <w:spacing w:after="0" w:line="72"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Even if we achieve profitability, we may not be able to sustain or increase profitability on a quarterly or annual basis. Our failure to become and remain profitable would depress the value of our common stock and could impair our ability to raise capital, expand our business, maintain our research and development efforts or continue our operations. A decline in the value of our common stock could also cause you to lose all or part of your investment.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9" w:name="page30"/>
    <w:bookmarkEnd w:id="29"/>
    <w:p>
      <w:pPr>
        <w:ind w:left="260" w:right="140"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currently have sufficient working capital to fund our planned operations for the next twelve months and substantial doubt exists as to our ability to continue as a going concern</w:t>
      </w:r>
    </w:p>
    <w:p>
      <w:pPr>
        <w:spacing w:after="0" w:line="51" w:lineRule="exact"/>
        <w:rPr>
          <w:sz w:val="20"/>
          <w:szCs w:val="20"/>
          <w:color w:val="auto"/>
        </w:rPr>
      </w:pPr>
    </w:p>
    <w:p>
      <w:pPr>
        <w:ind w:right="120" w:firstLine="360"/>
        <w:spacing w:after="0" w:line="254" w:lineRule="auto"/>
        <w:rPr>
          <w:sz w:val="20"/>
          <w:szCs w:val="20"/>
          <w:color w:val="auto"/>
        </w:rPr>
      </w:pPr>
      <w:r>
        <w:rPr>
          <w:rFonts w:ascii="Times New Roman" w:cs="Times New Roman" w:eastAsia="Times New Roman" w:hAnsi="Times New Roman"/>
          <w:sz w:val="18"/>
          <w:szCs w:val="18"/>
          <w:color w:val="auto"/>
        </w:rPr>
        <w:t>Our historical financial statements have been prepared under the assumption that we will continue as a going concern. As of March 31. 2025, we had an accumulated deficit of $268.9 million and had cash and cash equivalents of $34.3 million. These conditions raise substantial doubt about our ability to continue as a going concern within one year after the date the financial statements are issued. Based on our current plans and forecasted expenses, we expect that our cash, cash equivalents and short-term investments as of the filing date, May 6, 2025, will enable us to fund our planned operating expenses and capital expenditure requirements into the second quarter of 2026. We have based this estimate on assumptions that may prove to be wrong, and we could exhaust our capital resources sooner than expected. Until we can generate sufficient revenue, if ever, to fund our operations, we will need to finance future cash needs through public or private equity offerings, license agreements, debt financings or restructurings, collaborations, strategic alliances and marketing or distribution arrangements.</w:t>
      </w:r>
    </w:p>
    <w:p>
      <w:pPr>
        <w:spacing w:after="0" w:line="84"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The perception of our ability to continue as a going concern may make it more difficult for us to obtain financing for the continuation of our operations and could result in the loss of confidence by investors and employees. Additional financing may not be available to us when needed or, if available, it may not be obtained on commercially reasonable terms. If we are not able to obtain the necessary additional financing on a timely or commercially reasonable basis, we will be forced to delay or scale down some or all of our development activities (or perhaps even cease the operation of our business). If we are unable to continue as a going concern, our stockholders may lose some or all of their investment in the Company.</w:t>
      </w:r>
    </w:p>
    <w:p>
      <w:pPr>
        <w:spacing w:after="0" w:line="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Our operating history may make it difficult for you to evaluate the success of our business to date and to assess our future viability.</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As an organization, we have not demonstrated an ability to successfully complete clinical trials, obtain regulatory approvals, manufacture our product candidates at commercial scale or arrange for a third party to do so on our behalf, conduct sales and marketing activities necessary for successful commercialization, or obtain reimbursement in the countries of sale. We may encounter unforeseen expenses, difficulties, complications, and delays in achieving our business objectives. Our operating history makes any assessment of our future success or viability subject to significant uncertainty. If we do not address these risks successfully or are unable to transition at some point from a company with a research and development focus to a company capable of supporting commercial activities, then our business will suffer.</w:t>
      </w:r>
    </w:p>
    <w:p>
      <w:pPr>
        <w:spacing w:after="0" w:line="75" w:lineRule="exact"/>
        <w:rPr>
          <w:sz w:val="20"/>
          <w:szCs w:val="20"/>
          <w:color w:val="auto"/>
        </w:rPr>
      </w:pPr>
    </w:p>
    <w:p>
      <w:pPr>
        <w:ind w:lef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by economic downturns, inflation, increases in interest rates, natural disasters, public health crises such as pandemics, political crises, geopolitical events, or other macroeconomic conditions, which have in the past and may in the future negatively impact our business and financial performance.</w:t>
      </w:r>
    </w:p>
    <w:p>
      <w:pPr>
        <w:spacing w:after="0" w:line="67"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The global economy, including credit and financial markets, has experienced extreme volatility and disruptions, including, among other things, severely diminished liquidity and credit availability, declines in consumer confidence, declines in economic growth, supply chain shortages, increases in inflation rates, higher interest rates and uncertainty about economic stability, due to reasons including, among other things, political changes and trends such as protectionism, economic nationalism resulting in government actions impacting international trade agreements or imposing trade restrictions such as tariffs and retaliatory counter measures.</w:t>
      </w:r>
    </w:p>
    <w:p>
      <w:pPr>
        <w:spacing w:after="0" w:line="75" w:lineRule="exact"/>
        <w:rPr>
          <w:sz w:val="20"/>
          <w:szCs w:val="20"/>
          <w:color w:val="auto"/>
        </w:rPr>
      </w:pPr>
    </w:p>
    <w:p>
      <w:pPr>
        <w:ind w:right="20" w:firstLine="554"/>
        <w:spacing w:after="0" w:line="255" w:lineRule="auto"/>
        <w:rPr>
          <w:sz w:val="20"/>
          <w:szCs w:val="20"/>
          <w:color w:val="auto"/>
        </w:rPr>
      </w:pPr>
      <w:r>
        <w:rPr>
          <w:rFonts w:ascii="Times New Roman" w:cs="Times New Roman" w:eastAsia="Times New Roman" w:hAnsi="Times New Roman"/>
          <w:sz w:val="18"/>
          <w:szCs w:val="18"/>
          <w:color w:val="auto"/>
        </w:rPr>
        <w:t>A widespread public health crisis such as a pandemic could result in significant disruption of global financial markets, reducing our ability to access capital, which could negatively affect our liquidity. In addition, a recession or market correction resulting from the effects of public health crises could materially affect our business and the value of our common stock. It may have further negative impacts, such as (a) a global or U.S. recession or other economic crisis; (b) credit and capital markets volatility (and access to these markets, including by our suppliers and customers); (c) manufacturing supply disruption due to travel restrictions or other government actions; (d) disruptions in raw material supply, our manufacturing operations, or in our distribution and supply chain; and (e) our ability to conduct planned clinical trials and commercialization activities. The ultimate impact of a public health crisis is highly uncertain.</w:t>
      </w:r>
    </w:p>
    <w:p>
      <w:pPr>
        <w:spacing w:after="0" w:line="8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Federal Reserve recently raised interest rates multiple times in response to concerns about inflation and it may raise them again. Higher interest rates, coupled with reduced government spending and volatility in financial markets may increase economic uncertainty and affect consumer spending. If the equity and credit markets deteriorate, including as a result of political unrest or war, it may make any necessary debt or equity financing more difficult to obtain in a timely manner or on favorable terms, more costly or more dilutive. Increased inflation rates can adversely affect us by increasing our costs, including labor and employee benefit costs.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Development of our Product Candidates</w:t>
      </w:r>
    </w:p>
    <w:p>
      <w:pPr>
        <w:spacing w:after="0" w:line="117" w:lineRule="exact"/>
        <w:rPr>
          <w:sz w:val="20"/>
          <w:szCs w:val="20"/>
          <w:color w:val="auto"/>
        </w:rPr>
      </w:pPr>
    </w:p>
    <w:p>
      <w:pPr>
        <w:jc w:val="both"/>
        <w:ind w:left="26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development efforts are in the early stages. If we are unable to advance our product candidates through clinical development, obtain regulatory approval and ultimately commercialize our product candidates, or experience significant delays in doing so, our business will be materially harmed.</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0" w:name="page31"/>
    <w:bookmarkEnd w:id="30"/>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There is no assurance that any ongoing or future clinical trials of our product candidates will be successful or will generate positive clinical data and we may not receive marketing approval from the FDA or other regulatory agencies for any of our product candidates. All of our product candidates, other than solnerstotug, are in preclinical development. In addition, we have paused further development of our preclinical product candidates. Although the FDA cleared our IND for solnerstotug in April 2023, there can be no assurance that the FDA will permit any future IND for our other product candidates to go into effect in a timely manner or at all. We would not be permitted to conduct further clinical trials in the United States without future INDs for our other product candidates.</w:t>
      </w:r>
    </w:p>
    <w:p>
      <w:pPr>
        <w:spacing w:after="0" w:line="79"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Biopharmaceutical development is a long, expensive and uncertain process, and delay or failure can occur at any stage of any of our clinical trials. Failure to obtain regulatory approval for our product candidates will prevent us from commercializing and marketing our product candidates. The success in the development of our product candidates will depend on many factors, including:</w:t>
      </w:r>
    </w:p>
    <w:p>
      <w:pPr>
        <w:spacing w:after="0" w:line="68"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preclinical studies;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of INDs for and receipt of allowance to proceed with our clinical trials or other future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initiating, enrolling, and completing clinical trials;</w:t>
      </w:r>
    </w:p>
    <w:p>
      <w:pPr>
        <w:spacing w:after="0" w:line="117"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positive results from our preclinical studies and clinical trials that support a demonstration of efficacy, safety, and durability of effect for our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approvals for commercialization of our product candidates from applicable regulatory authorities;</w:t>
      </w:r>
    </w:p>
    <w:p>
      <w:pPr>
        <w:spacing w:after="0" w:line="117"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marketing and distribution capabilities and successfully launching commercial sales of our products, if and when approved, whether alone or in collaboration with others;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products, if and when approved,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our product candidates at an acceptable cost; and</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growing an organization of scientists, medical professionals and business people who can develop and commercialize our product candidates and technology.</w:t>
      </w:r>
    </w:p>
    <w:p>
      <w:pPr>
        <w:spacing w:after="0" w:line="54"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Many of these factors are beyond our control, including the time needed to adequately complete clinical testing and the regulatory submission process. It is possible that none of our product candidates will ever obtain regulatory approval, even if we expend substantial time and resources seeking such approval. If we do not achieve one or more of these factors in a timely manner or at all, or any other factors impacting the successful development of biopharmaceutical products, we could experience significant delays or an inability to successfully develop our product candidates, which could materially harm our business.</w:t>
      </w:r>
    </w:p>
    <w:p>
      <w:pPr>
        <w:spacing w:after="0" w:line="71" w:lineRule="exact"/>
        <w:rPr>
          <w:sz w:val="20"/>
          <w:szCs w:val="20"/>
          <w:color w:val="auto"/>
        </w:rPr>
      </w:pPr>
    </w:p>
    <w:p>
      <w:pPr>
        <w:ind w:left="26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therapeutic efficacy of our product candidates, including solnerstotug, is unproven in humans, and we may not be able to successfully develop and commercialize drug candidates pursuant to these programs.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TMAb product candidates are novel chemical and biologic entities and their potential benefit as therapeutic cancer drugs is unproven. For example, solnerstotug is a human monoclonal antibody targeting the novel immune checkpoint VISTA. There are currently no approved therapies that target VISTA. Our ability to generate revenues from our TMAb product candidates, which we do not expect will occur in the short-term, if ever, will depend heavily on their successful development and commercialization, which is subject to many potential risks. For example, our product candidates may not prove to be effective inhibitors of the molecular targets they are being designed to act against and may not demonstrate in patients any or all of the pharmacological benefits that may have been demonstrated in preclinical studies. These product candidates may interact with human biological systems in unforeseen, ineffective or harmful ways. If the FDA determines that any of our drug candidates are associated with significant side effects or have characteristics that are unexpected, we may need to delay or abandon their development or limit development to certain uses or subpopulations in which the undesirable side effects or other characteristics are less prevalent, less severe or more acceptable from a risk benefit perspective. Moreover, we may determine after conducting clinical trials or related studies that certain of our product candidates or platforms do not possess the anticipated therapeutic characteristics, and we may decide to abandon or discontinue any one of our studies, product candidates or platforms. For example, in June 2021 we announced the discontinuation of our SNS-301 program and terminated the Phase 1/2 clinic trial studying SNS-301 due to a lack of efficacy. In November 2022, we announced the suspension of our ImmunoPhage platform entirely and we are now focused exclusively on developing our TMAb platform.</w:t>
      </w:r>
    </w:p>
    <w:p>
      <w:pPr>
        <w:spacing w:after="0" w:line="7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Many drug candidates that initially showed promise in early stage testing for treating cancer have later been found to be ineffective and/or cause side effects that prevented further development of the compound or resulted in their removal from the market. For example, in a third-party clinical trial of an anti-VISTA monoclonal antibody, dose limiting toxicities caused by cytokine release syndrome resulted in early termination of the clinical trial. Although initial clinical data from our Phase 1/2 clinical trial of solnerstotug demonstrate favorable safety, pharmacokinetics and cytokine release profiles, as well as preliminary evidence of anti-tumor activity, there is no assurance that data from additional patients will produce similar results. As a result of these and other risks described herein that are inherent in the development and commercialization of novel therapeutic agents, we may not successfully</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develop and commercialize our drug candidates, in which case we may not achieve profitability and the value of our stock may decline.</w:t>
      </w:r>
    </w:p>
    <w:p>
      <w:pPr>
        <w:spacing w:after="0" w:line="113" w:lineRule="exact"/>
        <w:rPr>
          <w:sz w:val="20"/>
          <w:szCs w:val="20"/>
          <w:color w:val="auto"/>
        </w:rPr>
      </w:pPr>
    </w:p>
    <w:p>
      <w:pPr>
        <w:ind w:left="26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comparable foreign authorities are lengthy, time-consuming and inherently unpredictable, and if we are ultimately unable to obtain regulatory approval for our product candidates, our business will be substantially harmed.</w:t>
      </w:r>
    </w:p>
    <w:p>
      <w:pPr>
        <w:spacing w:after="0" w:line="5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We do not have any products that have gained regulatory approval. Our business is substantially dependent on our ability to obtain regulatory approval for our preclinical programs. We cannot commercialize product candidates in the United States without first obtaining regulatory approval for the product from the FDA. Before obtaining regulatory approvals for the commercial sale of any product candidate for a particular indication, we must demonstrate with substantial evidence gathered in preclinical and clinical studies that the product candidate is safe and effective for that indication and that the manufacturing facilities, processes and controls are adequate with respect to such product candidate. Prior to seeking approval for any of our product candidates, we will need to confer with the FDA and other regulatory authorities regarding the design of our clinical trials and the type and amount of clinical data necessary to seek and gain approval for our product candidates.</w:t>
      </w:r>
    </w:p>
    <w:p>
      <w:pPr>
        <w:spacing w:after="0" w:line="8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time required to obtain approval by the FDA and other regulatory authorities is unpredictable and typically takes many years following the commencement of preclinical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It is possible that none of our existing product candidates or any future product candidates will ever obtain regulatory approval.</w:t>
      </w:r>
    </w:p>
    <w:p>
      <w:pPr>
        <w:spacing w:after="0" w:line="75"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Our product candidates could fail to receive regulatory approval from the FDA or other comparable regulatory authorities for many reasons, including:</w:t>
      </w:r>
    </w:p>
    <w:p>
      <w:pPr>
        <w:spacing w:after="0" w:line="54"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with the design, protocol or conduct of our clinical trials, including with respect to our clinical trial of solnerstotug;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demonstrate that a product candidate is safe and effective for its proposed indication;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clinical trials to meet the level of statistical significance required for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demonstrate that a product candidate’s clinical and other benefits outweigh its safety risks;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with our interpretation of data from preclinical studies or clinical trials;</w:t>
      </w:r>
    </w:p>
    <w:p>
      <w:pPr>
        <w:spacing w:after="0" w:line="117"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insufficiency of data collected from clinical trials of our product candidates to support the submission and filing of a Biologics License Application, or BLA, or other submission or to obtain regulatory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approval of the manufacturing processes or our facilities;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approval policies or regulations that render our preclinical and clinical data insufficient for approval;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complete a clinical trial in a manner that is satisfactory to the applicable regulatory authority.</w:t>
      </w:r>
    </w:p>
    <w:p>
      <w:pPr>
        <w:spacing w:after="0" w:line="117"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Many of these risks are beyond our control, including the risks related to clinical development. If we are unable to develop, receive regulatory approval for, or successfully commercialize our product candidates, or if we experience delays as a result of any of these risks or otherwise, our business could be materially harmed.</w:t>
      </w:r>
    </w:p>
    <w:p>
      <w:pPr>
        <w:spacing w:after="0" w:line="6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FDA or a comparable regulatory authority may require more information, including additional preclinical or clinical data to support approval, including data that would require us to perform additional clinical trials or modify our manufacturing processes, which may delay or prevent approval and our commercialization plans, or we may decide to abandon the development program. If we change our manufacturing processes, we may be required to conduct additional clinical trials or other studies, which also could delay or prevent approval of our product candidates. If we were to obtain approval, regulatory authorities may approve any of our product candidates for fewer indications than we request (including failing to approve the most commercially promising indications), may limit indications, may grant approval contingent on the performance of costly post-marketing clinical trials or other post-marketing commitments, or may approve a product candidate with a label that does not include the labeling claims necessary or desirable for the successful commercialization of that product candidate.</w:t>
      </w:r>
    </w:p>
    <w:p>
      <w:pPr>
        <w:spacing w:after="0" w:line="8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Even if a product candidate were to successfully obtain approval from the FDA or other comparable regulatory authorities in other jurisdictions, any approval might contain significant limitations related to use restrictions for specified age groups, warnings, precautions or contraindications, or may be subject to burdensome post-approval study or risk management requirements. If we are unable to obtain regulatory approval for one of our product candidates in one or more jurisdictions, or any approval contains significant limitations, we may not be able to obtain sufficient funding to continue the development of that product candidate or</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2" w:name="page33"/>
    <w:bookmarkEnd w:id="32"/>
    <w:p>
      <w:pPr>
        <w:ind w:right="200"/>
        <w:spacing w:after="0" w:line="282" w:lineRule="auto"/>
        <w:rPr>
          <w:sz w:val="20"/>
          <w:szCs w:val="20"/>
          <w:color w:val="auto"/>
        </w:rPr>
      </w:pPr>
      <w:r>
        <w:rPr>
          <w:rFonts w:ascii="Times New Roman" w:cs="Times New Roman" w:eastAsia="Times New Roman" w:hAnsi="Times New Roman"/>
          <w:sz w:val="18"/>
          <w:szCs w:val="18"/>
          <w:color w:val="auto"/>
        </w:rPr>
        <w:t>generate revenues attributable to that product candidate. Also, any regulatory approval of our current or future product candidates, once obtained, may be withdrawn.</w:t>
      </w:r>
    </w:p>
    <w:p>
      <w:pPr>
        <w:spacing w:after="0" w:line="50" w:lineRule="exact"/>
        <w:rPr>
          <w:sz w:val="20"/>
          <w:szCs w:val="20"/>
          <w:color w:val="auto"/>
        </w:rPr>
      </w:pPr>
    </w:p>
    <w:p>
      <w:pPr>
        <w:jc w:val="both"/>
        <w:ind w:left="260" w:right="5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is highly dependent on the success of our product candidates that we advance into the clinic. All of our product candidates may require significant additional preclinical, clinical and manufacturing development before we may be able to seek regulatory approval for and launch a product commercially and we may not be successful in our efforts to build a pipeline of product candidates.</w:t>
      </w:r>
    </w:p>
    <w:p>
      <w:pPr>
        <w:spacing w:after="0" w:line="6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 key element of our strategy is utilizing our TMAb platform to develop conditionally active monoclonal antibodies, which we believe could generate safer and more effective cancer therapies. However, we currently have no products that are approved for commercial sale and may never be able to develop marketable products. We are very early in our development efforts, and if any of our product candidates, including solnerstotug, encounters safety or efficacy problems, development delays, regulatory issues or other problems, our development plans and forecasted timelines and business could be significantly harmed. Our TMAb platform is designed to generate next-generation antibodies that have potential to block immunosuppressive signals or activate immunostimulatory signals selectively within the tumor microenvironment. However, our TMAb platform may not produce product candidates that are safe and effective, or which compare favorably with other commercially available alternatives. Even if we are successful in continuing to build our pipeline and develop next-generation antibodies, the potential product candidates that we identify may not be suitable for clinical development, including as a result of lack of safety, lack of tolerability, or other characteristics that indicate that they are unlikely to be products that will receive marketing approval, achieve market acceptance or obtain reimbursements from third-party payors. We cannot provide you with any assurance that we will be able to successfully advance any of these additional product candidates through the development process. Our research programs may initially show promise in identifying potential product candidates, yet fail to yield product candidates for clinical development or commercialization for many reasons, including the following:</w:t>
      </w:r>
    </w:p>
    <w:p>
      <w:pPr>
        <w:spacing w:after="0" w:line="79"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TMAb platform may not be successful in identifying additional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or willing to assemble sufficient resources to acquire or discover additional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not succeed in preclinical or clinical testing;</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on further study be shown to have harmful side effects, such as cytokine release syndrome, or other characteristics that indicate it is unlikely to be effective or otherwise does not meet applicable regulatory criteria;</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develop alternatives that render our product candidates obsolete or less attractive;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we develop may nevertheless be covered by third parties’ patents or other exclusive rights;</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for a product candidate may change during our development program so that the continued development of that product candidate is no longer reasonable;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capable of being produced in commercial quantities at an acceptable cost, or at all;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accepted as safe and effective by patients, the medical community or third-party payors, if applicable.</w:t>
      </w:r>
    </w:p>
    <w:p>
      <w:pPr>
        <w:spacing w:after="0" w:line="117"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If any of these events occur, we may be forced to abandon our development efforts for a program or programs, or we may not be able to identify, discover, develop, or commercialize additional product candidates, which could have a material adverse effect on our business and could potentially cause us to cease operations.</w:t>
      </w:r>
    </w:p>
    <w:p>
      <w:pPr>
        <w:spacing w:after="0" w:line="68"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If we do not successfully develop and commercialize product candidates or collaborate with others to do so, we will not be able to obtain product revenue in future periods, which could significantly harm our financial position and adversely affect the trading price of our common stock.</w:t>
      </w:r>
    </w:p>
    <w:p>
      <w:pPr>
        <w:spacing w:after="0" w:line="50" w:lineRule="exact"/>
        <w:rPr>
          <w:sz w:val="20"/>
          <w:szCs w:val="20"/>
          <w:color w:val="auto"/>
        </w:rPr>
      </w:pPr>
    </w:p>
    <w:p>
      <w:pPr>
        <w:ind w:left="260"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have a greater likelihood of success.</w:t>
      </w:r>
    </w:p>
    <w:p>
      <w:pPr>
        <w:spacing w:after="0" w:line="5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Because we have limited financial and management resources, we focus on research programs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Our spending on current and future research and development programs and product candidates for specific indications may not yield any commercially viable products. For example, in June 2021 we announced the discontinuation of our SNS-301 program and terminated the Phase 1/2 clinic trial studying SNS-301 due to a lack of efficacy. SNS-301 had been our lead product candidate and only clinical stage program. Furthermore, in November 2022 we announced the</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3" w:name="page34"/>
    <w:bookmarkEnd w:id="33"/>
    <w:p>
      <w:pPr>
        <w:ind w:right="520"/>
        <w:spacing w:after="0" w:line="282" w:lineRule="auto"/>
        <w:rPr>
          <w:sz w:val="20"/>
          <w:szCs w:val="20"/>
          <w:color w:val="auto"/>
        </w:rPr>
      </w:pPr>
      <w:r>
        <w:rPr>
          <w:rFonts w:ascii="Times New Roman" w:cs="Times New Roman" w:eastAsia="Times New Roman" w:hAnsi="Times New Roman"/>
          <w:sz w:val="18"/>
          <w:szCs w:val="18"/>
          <w:color w:val="auto"/>
        </w:rPr>
        <w:t>suspension of our ImmunoPhage platform entirely, including SNS-401-NG, which we were developing for the treatment of patients with Merkel cell carcinoma. As a result, we are now focused exclusively on developing our TMAb product candidates.</w:t>
      </w:r>
    </w:p>
    <w:p>
      <w:pPr>
        <w:spacing w:after="0" w:line="50" w:lineRule="exact"/>
        <w:rPr>
          <w:sz w:val="20"/>
          <w:szCs w:val="20"/>
          <w:color w:val="auto"/>
        </w:rPr>
      </w:pPr>
    </w:p>
    <w:p>
      <w:pPr>
        <w:ind w:left="260" w:right="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clinical trials of any of our product candidates fail to demonstrate safety and efficacy to the satisfaction of the FDA or other comparable regulatory authorities, or do not otherwise produce favorable results, we may incur additional costs or experience delays in completing, or ultimately be unable to complete, the development and commercialization of our product candidates.</w:t>
      </w:r>
    </w:p>
    <w:p>
      <w:pPr>
        <w:spacing w:after="0" w:line="6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Other than solnerstotug, our product candidates are still in the preclinical development stage, and the risk of failure of preclinical programs is high. Before we can commence clinical trials for a product candidate, we must complete extensive preclinical testing and studies to obtain regulatory clearance to initiate human clinical trials. In November 2024, we announced that we have paused further development of our preclinical product candidates. Even if we resume preclinical development, we cannot be certain of the timely completion or outcome of our preclinical testing and studies and cannot predict if the FDA or other regulatory authorities will accept our proposed clinical programs or if the outcome of our preclinical testing and studies will ultimately support the further development of our programs. As a result, we cannot be sure that we will be able to submit INDs or similar applications for our preclinical programs on the timelines we expect, if at all, and we cannot be sure that submission of INDs or similar applications will result in the FDA or other regulatory authorities allowing clinical trials to begin. It is impossible to predict accurately when or if any of our product candidates will prove effective or safe in humans and will receive regulatory approval. Before obtaining marketing approval from regulatory authorities for the commercial sale of any of our product candidates, we must demonstrate through lengthy, complex and expensive preclinical testing and clinical trials that our product candidates are both safe and effective for use in each target indication. Clinical testing is expensive, difficult to design and implement, can take many years to complete and is uncertain as to outcome. A failure of one or more clinical trials can occur at any stage of testing.</w:t>
      </w:r>
    </w:p>
    <w:p>
      <w:pPr>
        <w:spacing w:after="0" w:line="82"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We may experience numerous unforeseen events prior to, during, or as a result of, clinical trials that could delay or prevent our ability to receive marketing approval or commercialize any of our product candidates, including:</w:t>
      </w:r>
    </w:p>
    <w:p>
      <w:pPr>
        <w:spacing w:after="0" w:line="54" w:lineRule="exact"/>
        <w:rPr>
          <w:sz w:val="20"/>
          <w:szCs w:val="20"/>
          <w:color w:val="auto"/>
        </w:rPr>
      </w:pPr>
    </w:p>
    <w:p>
      <w:pPr>
        <w:ind w:left="1020" w:right="1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comparable regulatory authority may disagree as to the number, design or implementation of our clinical trials, or may not interpret the results from clinical trials as we do;</w:t>
      </w:r>
    </w:p>
    <w:p>
      <w:pPr>
        <w:spacing w:after="0" w:line="53"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may not authorize us or our investigators to commence a clinical trial or conduct a clinical trial at a prospective trial site;</w:t>
      </w:r>
    </w:p>
    <w:p>
      <w:pPr>
        <w:spacing w:after="0" w:line="53" w:lineRule="exact"/>
        <w:rPr>
          <w:rFonts w:ascii="Times New Roman" w:cs="Times New Roman" w:eastAsia="Times New Roman" w:hAnsi="Times New Roman"/>
          <w:sz w:val="18"/>
          <w:szCs w:val="18"/>
          <w:color w:val="auto"/>
        </w:rPr>
      </w:pPr>
    </w:p>
    <w:p>
      <w:pPr>
        <w:ind w:left="1020" w:right="76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reach agreement on acceptable terms with prospective clinical trial sites, the terms of which can be subject to extensive negotiation and may vary significantly among different clinical trial sites;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produce negative or inconclusive results;</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or regulators may require us, to conduct additional preclinical studies or clinical trials or abandon our product development programs;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product candidates may be larger than we anticipate, enrollment in these clinical trials may be slower than we anticipate, participants may drop out of these clinical trials at a higher rate than we anticipate or we may fail to recruit suitable patients to participate in a trial;</w:t>
      </w:r>
    </w:p>
    <w:p>
      <w:pPr>
        <w:spacing w:after="0" w:line="6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or meet their contractual obligations to us in a timely manner, or at all;</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issue a clinical hold, or regulators or institutional review boards may require that we or our investigators suspend or terminate clinical research for various reasons, including noncompliance with regulatory requirements or a finding that the participants are being exposed to unacceptable health risks;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we anticipate;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comparable regulatory authorities may fail to approve our manufacturing processes or facilities;</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w:t>
      </w:r>
    </w:p>
    <w:p>
      <w:pPr>
        <w:spacing w:after="0" w:line="53"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have undesirable side effects or other unexpected characteristics, particularly given their novel, first-in-human application, causing us or our investigators, regulators or institutional review boards to suspend or terminate the clinical trials; and</w:t>
      </w:r>
    </w:p>
    <w:p>
      <w:pPr>
        <w:spacing w:after="0" w:line="53"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other comparable regulatory authorities may significantly change in a manner rendering our clinical data insufficient for approval.</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4" w:name="page35"/>
    <w:bookmarkEnd w:id="34"/>
    <w:p>
      <w:pPr>
        <w:ind w:right="220" w:firstLine="509"/>
        <w:spacing w:after="0" w:line="289" w:lineRule="auto"/>
        <w:rPr>
          <w:sz w:val="20"/>
          <w:szCs w:val="20"/>
          <w:color w:val="auto"/>
        </w:rPr>
      </w:pPr>
      <w:r>
        <w:rPr>
          <w:rFonts w:ascii="Times New Roman" w:cs="Times New Roman" w:eastAsia="Times New Roman" w:hAnsi="Times New Roman"/>
          <w:sz w:val="17"/>
          <w:szCs w:val="17"/>
          <w:color w:val="auto"/>
        </w:rPr>
        <w:t>To the extent that the results of the trials are not satisfactory for the FDA or regulatory authorities in other countries or jurisdiction to approve our BLA or other comparable application, the commercialization of our product candidates may be significantly delayed, or we may be required to expend significant additional resources, which may not be available to us, to conduct additional trials in support of potential approval of our product candidates.</w:t>
      </w:r>
    </w:p>
    <w:p>
      <w:pPr>
        <w:spacing w:after="0" w:line="46" w:lineRule="exact"/>
        <w:rPr>
          <w:sz w:val="20"/>
          <w:szCs w:val="20"/>
          <w:color w:val="auto"/>
        </w:rPr>
      </w:pPr>
    </w:p>
    <w:p>
      <w:pPr>
        <w:ind w:left="260"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trials are difficult to design and implement, can be lengthy and expensive, involve uncertain outcomes and may not ultimately be successful.</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It is impossible to predict when or if any of our current or future product candidates will prove effective and safe in humans or will receive regulatory approval. Before obtaining marketing approval from regulatory authorities for the sale of any product candidate, we must complete preclinical studies and then conduct extensive clinical trials to demonstrate the safety and efficacy of our product candidates in humans. Human clinical trials are expensive, can take many years to complete, and are difficult to design and implement, in part because they are subject to rigorous regulatory requirements. The design of a clinical trial can determine whether its results will support approval of a product and flaws in the design of a clinical trial may not become apparent until the clinical trial is well advanced. As an organization, we have limited experience designing clinical trials and may be unable to design and execute a clinical trial to support regulatory approval. There is a high failure rate for oncology product candidates proceeding through clinical trials. Many companies in the pharmaceutical and biotechnology industries have suffered significant setbacks in late-stage clinical trials even after achieving promising results in preclinical testing and earlier-stage clinical trials. Data obtained from preclinical and clinical activities are subject to varying interpretations, which may delay, limit or prevent regulatory approval. In addition, we may experience regulatory delays or rejections as a result of many factors, including changes in regulatory policy during the period of our product candidate development. Any such delays could negatively impact our business, financial condition, results of operations and prospects.</w:t>
      </w:r>
    </w:p>
    <w:p>
      <w:pPr>
        <w:spacing w:after="0" w:line="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Success in preclinical studies or clinical trials may not be predictive of results in future clinical trials.</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Results from preclinical studies and early clinical trials may not be predictive of the success of later clinical trials, and interim results of clinical trials are not necessarily predictive of final results. We do not know whether our candidates will be effective for the intended indications or safe in humans. Our product candidates may fail to show the desired safety and efficacy in preclinical or clinical development despite positive results observed in early preclinical studies or having successfully advanced through initial clinical trials. For example, although we have generated preclinical data suggesting that the conditionally active properties of solnerstotug have the potential to lower the risk of side effects such as cytokine release syndrome, enhance the anti-tumor effects of PD-1 blockade, and produce anti-tumor activity as a monotherapy, those data were generated either from animal studies or ex vivo studies with human samples and there can be no assurances that similar results will be achieved in clinical trials of solnerstotug with human subjects. Any failure to establish sufficient efficacy and safety could cause us to abandon clinical development of our product candidates, including solnerstotug.</w:t>
      </w:r>
    </w:p>
    <w:p>
      <w:pPr>
        <w:spacing w:after="0" w:line="84"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Additionally, our clinical trial of solnerstotug utilizes an open-label study design. An “open-label” clinical trial is one where both the patient and investigator know whether the patient is receiving the investigational product candidate or either an existing approved therapy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Moreover, patients selected for early clinical studies often include the most severe sufferers and their symptoms may have been bound to improve notwithstanding the new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w:t>
      </w:r>
    </w:p>
    <w:p>
      <w:pPr>
        <w:spacing w:after="0" w:line="76" w:lineRule="exact"/>
        <w:rPr>
          <w:sz w:val="20"/>
          <w:szCs w:val="20"/>
          <w:color w:val="auto"/>
        </w:rPr>
      </w:pPr>
    </w:p>
    <w:p>
      <w:pPr>
        <w:ind w:lef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patients are enrolled and additional data become available, and are subject to audit and verification procedures that could result in material changes in the final data.</w:t>
      </w:r>
    </w:p>
    <w:p>
      <w:pPr>
        <w:spacing w:after="0" w:line="67"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expect to publish from time to time interim topline or preliminary data from our clinical trials. Interim data from clinical trials that we may complete are subject to the risk that one or more of the clinical outcomes may materially change as patient enrollment continues and more patient data become available.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From time to time, we may also disclose interim data from our clinical trials. Interim data from clinical trials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w:t>
      </w: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5" w:name="page36"/>
    <w:bookmarkEnd w:id="35"/>
    <w:p>
      <w:pPr>
        <w:ind w:right="220"/>
        <w:spacing w:after="0" w:line="282" w:lineRule="auto"/>
        <w:rPr>
          <w:sz w:val="20"/>
          <w:szCs w:val="20"/>
          <w:color w:val="auto"/>
        </w:rPr>
      </w:pPr>
      <w:r>
        <w:rPr>
          <w:rFonts w:ascii="Times New Roman" w:cs="Times New Roman" w:eastAsia="Times New Roman" w:hAnsi="Times New Roman"/>
          <w:sz w:val="18"/>
          <w:szCs w:val="18"/>
          <w:color w:val="auto"/>
        </w:rPr>
        <w:t>interim data and final data could significantly harm our reputation and business prospects. Further, disclosure of interim data by us or by our competitors could result in volatility in the price of our common stock.</w:t>
      </w:r>
    </w:p>
    <w:p>
      <w:pPr>
        <w:spacing w:after="0" w:line="5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potential of the particular program, the likelihood of marketing approval or commercialization of the particular product candidate, any approved product, and our company in general. In addition, the information we choose to publicly disclose regarding a particular study or clinical trial is derived from information that is typically extensive, and you or others may not agree with what we determine is material or otherwise appropriate information to include in our disclosure.</w:t>
      </w:r>
    </w:p>
    <w:p>
      <w:pPr>
        <w:spacing w:after="0" w:line="75"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64" w:lineRule="exact"/>
        <w:rPr>
          <w:sz w:val="20"/>
          <w:szCs w:val="20"/>
          <w:color w:val="auto"/>
        </w:rPr>
      </w:pPr>
    </w:p>
    <w:p>
      <w:pPr>
        <w:ind w:left="26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timely enrollment of patients in our clinical trials for our product candidates. If we encounter difficulties enrolling patients in our clinical trials, our clinical development activities could be delayed or otherwise adversely affected.</w:t>
      </w:r>
    </w:p>
    <w:p>
      <w:pPr>
        <w:spacing w:after="0" w:line="5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Identifying and qualifying patients to participate in clinical trials of our product candidates is critical to our success. We may experience difficulties in patient enrollment in our clinical trials for a variety of reasons. The timely completion of clinical trials in accordance with their protocols depends, among other things, on our ability to enroll a sufficient number of patients who remain in the study until its conclusion. The enrollment of patients depends on many factors, including:</w:t>
      </w:r>
    </w:p>
    <w:p>
      <w:pPr>
        <w:spacing w:after="0" w:line="72"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eligibility criteria defined in the protocol;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with the disease or condition being studied;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product candidate in the trial;</w:t>
      </w:r>
    </w:p>
    <w:p>
      <w:pPr>
        <w:spacing w:after="0" w:line="117"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perceptions as to the potential advantages of the product candidate being studied in relation to other available therapies, including any new drugs that may be approved for the indications we are investigating or drugs that may be used off-label for these indications;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 required for analysis of the trial’s primary endpoints;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patients to study sites;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clinical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with the appropriate competencies and experience;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clinical trials for similar therapies or other new therapeutics;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consents;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clinical trials will drop out of the clinical trials before completion of their treatment;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we may not be able to control, such as pandemics, that may limit patients, principal investigators or staff or clinical site available.</w:t>
      </w:r>
    </w:p>
    <w:p>
      <w:pPr>
        <w:spacing w:after="0" w:line="117"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In addition, because the number of qualified clinical investigators is limited, we expect to conduct some of our clinical trials at the same clinical trial sites that some of our competitors use, which could further reduce the number of patients who are available for our clinical trials in these clinical trial sites.</w:t>
      </w:r>
    </w:p>
    <w:p>
      <w:pPr>
        <w:spacing w:after="0" w:line="54" w:lineRule="exact"/>
        <w:rPr>
          <w:sz w:val="20"/>
          <w:szCs w:val="20"/>
          <w:color w:val="auto"/>
        </w:rPr>
      </w:pPr>
    </w:p>
    <w:p>
      <w:pPr>
        <w:jc w:val="both"/>
        <w:ind w:right="80" w:firstLine="509"/>
        <w:spacing w:after="0" w:line="289" w:lineRule="auto"/>
        <w:rPr>
          <w:sz w:val="20"/>
          <w:szCs w:val="20"/>
          <w:color w:val="auto"/>
        </w:rPr>
      </w:pPr>
      <w:r>
        <w:rPr>
          <w:rFonts w:ascii="Times New Roman" w:cs="Times New Roman" w:eastAsia="Times New Roman" w:hAnsi="Times New Roman"/>
          <w:sz w:val="17"/>
          <w:szCs w:val="17"/>
          <w:color w:val="auto"/>
        </w:rPr>
        <w:t>Delays in patient enrollment may result in increased costs or may affect the timing or outcome of the clinical trials, which could prevent completion of these clinical trials and adversely affect our ability to advance the development of our product candidates. In addition, many of the factors that may lead to a delay in the commencement or completion of clinical trials may also ultimately lead to the denial of regulatory approval of our product candidates.</w:t>
      </w:r>
    </w:p>
    <w:p>
      <w:pPr>
        <w:spacing w:after="0" w:line="46" w:lineRule="exact"/>
        <w:rPr>
          <w:sz w:val="20"/>
          <w:szCs w:val="20"/>
          <w:color w:val="auto"/>
        </w:rPr>
      </w:pPr>
    </w:p>
    <w:p>
      <w:pPr>
        <w:ind w:lef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opportunities for certain of our product candidates may be limited to those patients who are ineligible for or have failed prior treatments and, therefore, may be small, and our projections regarding the size of the addressable market may be incorrect.</w:t>
      </w:r>
    </w:p>
    <w:p>
      <w:pPr>
        <w:spacing w:after="0" w:line="51" w:lineRule="exact"/>
        <w:rPr>
          <w:sz w:val="20"/>
          <w:szCs w:val="20"/>
          <w:color w:val="auto"/>
        </w:rPr>
      </w:pPr>
    </w:p>
    <w:p>
      <w:pPr>
        <w:ind w:right="240" w:firstLine="509"/>
        <w:spacing w:after="0" w:line="256" w:lineRule="auto"/>
        <w:rPr>
          <w:sz w:val="20"/>
          <w:szCs w:val="20"/>
          <w:color w:val="auto"/>
        </w:rPr>
      </w:pPr>
      <w:r>
        <w:rPr>
          <w:rFonts w:ascii="Times New Roman" w:cs="Times New Roman" w:eastAsia="Times New Roman" w:hAnsi="Times New Roman"/>
          <w:sz w:val="18"/>
          <w:szCs w:val="18"/>
          <w:color w:val="auto"/>
        </w:rPr>
        <w:t>Our immuno-oncology approach is based on novel ideas and technologies that are unproven and may not result in marketable products, which makes it difficult for us to predict the time and cost of product development and potential for regulatory approval. Cancer therapies are sometimes characterized as first line, second line or third line, and the FDA often approves new therapies initially only for third line use. When cancers are detected they are treated with first line of therapy with the intention of curing the cancer. This treatment generally consists of chemotherapy, radiation, antibody drugs, tumor targeted small molecules, or a combination of these. If the patient’s cancer relapses, then the patient is given a second line or third line therapy, which can consist of more</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6" w:name="page37"/>
    <w:bookmarkEnd w:id="36"/>
    <w:p>
      <w:pPr>
        <w:ind w:right="40"/>
        <w:spacing w:after="0" w:line="266" w:lineRule="auto"/>
        <w:rPr>
          <w:sz w:val="20"/>
          <w:szCs w:val="20"/>
          <w:color w:val="auto"/>
        </w:rPr>
      </w:pPr>
      <w:r>
        <w:rPr>
          <w:rFonts w:ascii="Times New Roman" w:cs="Times New Roman" w:eastAsia="Times New Roman" w:hAnsi="Times New Roman"/>
          <w:sz w:val="18"/>
          <w:szCs w:val="18"/>
          <w:color w:val="auto"/>
        </w:rPr>
        <w:t>chemotherapy, radiation, antibody drugs, tumor targeted small molecules, or a combination of these. Generally, the higher the line of therapy, the lower the chance of a cure. With third or higher line, the goal of the therapy is to control the growth of the tumor and extend the life of the patient, as a cure is unlikely to happen. Patients are generally referred to clinical trials in these situations.</w:t>
      </w:r>
    </w:p>
    <w:p>
      <w:pPr>
        <w:spacing w:after="0" w:line="68"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There is no guarantee that any of our product candidates, even if approved, would be approved for an early line of therapy. In addition, we may have to conduct additional large randomized clinical trials prior to gaining approval for the earlier line of therapy.</w:t>
      </w:r>
    </w:p>
    <w:p>
      <w:pPr>
        <w:spacing w:after="0" w:line="54"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Our projections of both the number of people who have the cancers we are targeting, as well as the size of the patient population subset of people with these cancers in a position to receive first, second, third and fourth line therapy and who have the potential to benefit from treatment with our product candidates, are based on our beliefs and estimates. These estimates have been derived from a variety of sources, including scientific literature, surveys of clinics, patient foundations, or market research and may prove to be incorrect. Further, new studies may change the estimated incidence or prevalence of these cancers. The number of patients may turn out to be fewer than expected. Additionally, the potentially addressable patient population for our product candidates may be limited or may not be amenable to treatment with our product candidates. Even if we obtain significant market share for our product candidates, because the potential target populations are small, we may never achieve significant revenues without obtaining regulatory approval for additional indications or as part of earlier lines of therapy.</w:t>
      </w:r>
    </w:p>
    <w:p>
      <w:pPr>
        <w:spacing w:after="0" w:line="80" w:lineRule="exact"/>
        <w:rPr>
          <w:sz w:val="20"/>
          <w:szCs w:val="20"/>
          <w:color w:val="auto"/>
        </w:rPr>
      </w:pPr>
    </w:p>
    <w:p>
      <w:pPr>
        <w:ind w:left="260" w:right="5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Adverse side effects or other safety risks associated with our product candidates could delay or preclude approval, cause us to suspend or discontinue clinical trials, cause us to abandon product candidates, could limit the commercial profile of an approved label, or could result in significant negative consequences following any potential marketing approval.</w:t>
      </w:r>
    </w:p>
    <w:p>
      <w:pPr>
        <w:spacing w:after="0" w:line="6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clinical trials will include cancer patients who are very sick and whose health is deteriorating. It is possible that some of these patients may experience similar side effects and that additional patients may die during our clinical trials for various reasons. The causes of death could include receiving our product candidates because the patient’s disease is too advanced or because the patient experiences medical problems that may not be related to our product candidate. Even if the patient deaths are not related to our product candidate, the deaths could affect perceptions regarding the safety of our product candidates, including solnerstotug.</w:t>
      </w:r>
    </w:p>
    <w:p>
      <w:pPr>
        <w:spacing w:after="0" w:line="75"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Patient deaths and severe side effects caused by our product candidates, or by products or product candidates of other companies that are thought to have similarities with our therapeutic candidates, could result in the delay, suspension, clinical hold or termination of our clinical trials, the FDA or other regulatory authorities for a number of reasons. If we elect or are required to delay, suspend or terminate any clinical trial of any product candidates that we develop, the commercial prospects of such product candidates will be harmed and our ability to generate product revenues from any of these product candidates would be delayed or eliminated. Serious adverse events observed in clinical trials could hinder or prevent market acceptance of the product candidate at issue. Any of these occurrences may harm our business, prospects, financial condition and results of operations significantly.</w:t>
      </w:r>
    </w:p>
    <w:p>
      <w:pPr>
        <w:spacing w:after="0" w:line="79"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Additionally, if one or more of our product candidates receives marketing approval, and we or others later identify undesirable side effects caused by such products, including during any long-term follow-up observation period recommended or required for patients who receive treatment using our products, a number of potentially significant negative consequences could result, including:</w:t>
      </w:r>
    </w:p>
    <w:p>
      <w:pPr>
        <w:spacing w:after="0" w:line="68"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or limit their approval of such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“boxed” warning or a contraindication;</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66"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Risk Evaluation and Mitigation Strategy, or REMS, plan, which could include a medication guide outlining the risks of such side effects for distribution to patients, a communication plan for healthcare providers, and/or other elements to assure safe use, such as restricted distribution methods, patient registries and other risk minimization tools;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to remove such products from the marketplace;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117"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Any of the foregoing could prevent us from achieving or maintaining market acceptance of the particular product candidate, if approved, and could significantly harm our business, results of operations, and prospects.</w:t>
      </w:r>
    </w:p>
    <w:p>
      <w:pPr>
        <w:spacing w:after="0" w:line="50" w:lineRule="exact"/>
        <w:rPr>
          <w:sz w:val="20"/>
          <w:szCs w:val="20"/>
          <w:color w:val="auto"/>
        </w:rPr>
      </w:pPr>
    </w:p>
    <w:p>
      <w:pPr>
        <w:ind w:left="260" w:right="6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preclinical studies and clinical trials, the marketing approval process is expensive, time-consuming and uncertain and may prevent us or any future collaboration partners from obtaining approvals for the commercialization of any other product candidate we develop.</w:t>
      </w:r>
    </w:p>
    <w:p>
      <w:pPr>
        <w:spacing w:after="0" w:line="67"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Any product candidate we may develop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authorities in the United States and by comparable authorities in other countries. Failure to obtain marketing approval for a product candidate will prevent us from commercializing the product candidate in a given jurisdiction. We have not received approval to market any product candidates from</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7" w:name="page38"/>
    <w:bookmarkEnd w:id="37"/>
    <w:p>
      <w:pPr>
        <w:spacing w:after="0" w:line="254" w:lineRule="auto"/>
        <w:rPr>
          <w:sz w:val="20"/>
          <w:szCs w:val="20"/>
          <w:color w:val="auto"/>
        </w:rPr>
      </w:pPr>
      <w:r>
        <w:rPr>
          <w:rFonts w:ascii="Times New Roman" w:cs="Times New Roman" w:eastAsia="Times New Roman" w:hAnsi="Times New Roman"/>
          <w:sz w:val="18"/>
          <w:szCs w:val="18"/>
          <w:color w:val="auto"/>
        </w:rPr>
        <w:t>regulatory authorities in any jurisdiction and it is possible that none of the product candidates we may seek to develop in the future will ever obtain regulatory approval. We have no experience in filing and supporting the applications necessary to gain marketing approvals and expect to rely on third-party contract research organizations, or CROs, or regulatory consultants to assist us in this process. Securing regulatory approval requires the submission of extensive preclinical and clinical data and supporting information to the various regulatory authorities for each therapeutic indication to establish the biologic product candidate’s safety, purity, efficacy and potency. Securing regulatory approval also requires the submission of information about the product manufacturing process to, and inspection of manufacturing facilities by, the relevant regulatory authority. Any product candidates we develop may not be effective, may be only moderately effective, or may prove to have undesirable or unintended side effects, toxicities or other characteristics that may preclude our obtaining marketing approval or prevent or limit commercial use.</w:t>
      </w:r>
    </w:p>
    <w:p>
      <w:pPr>
        <w:spacing w:after="0" w:line="84"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The process of obtaining marketing approvals, both in the United States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84"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If we experience delays in obtaining approval or if we fail to obtain approval of any product candidates we may develop, the commercial prospects for those product candidates may be harmed, and our ability to generate revenues may be materially impaired.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Manufacturing and our Dependence on Third Parties</w:t>
      </w:r>
    </w:p>
    <w:p>
      <w:pPr>
        <w:spacing w:after="0" w:line="117" w:lineRule="exact"/>
        <w:rPr>
          <w:sz w:val="20"/>
          <w:szCs w:val="20"/>
          <w:color w:val="auto"/>
        </w:rPr>
      </w:pPr>
    </w:p>
    <w:p>
      <w:pPr>
        <w:jc w:val="both"/>
        <w:ind w:left="260"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rely, and expect to continue to rely, on third parties to conduct, supervise, and monitor our preclinical studies, as well as our clinical trials. If those third parties do not perform satisfactorily, including failing to meet deadlines for the completion of such clinical trials or failing to comply with regulatory requirements, we may be unable to obtain regulatory approval for our product candidates.</w:t>
      </w:r>
    </w:p>
    <w:p>
      <w:pPr>
        <w:spacing w:after="0" w:line="6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currently rely on third-party contract research organizations, or CROs, academic institutions, study sites, clinical investigators and others to conduct, supervise, and monitor our preclinical studies and clinical trials, including our clinical trial of solnerstotug. We expect to continue to rely on third parties, such as CROs, clinical data management organizations, medical institutions, and clinical investigators, to conduct our preclinical studies and clinical trials. Although we currently have or plan to enter into agreements governing the activities of these third parties, we have limited influence over their actual performance and control only certain aspects of their activities. The failure of these third parties to successfully carry out their contractual duties or meet expected deadlines could substantially harm our business because we may be delayed in completing or unable to complete the studies required to develop solnerstotug and other current and future product candidates, or we may not obtain marketing approval for, or commercialize, solnerstotug or our other current and future product candidates in a timely manner or at all.</w:t>
      </w:r>
    </w:p>
    <w:p>
      <w:pPr>
        <w:spacing w:after="0" w:line="84"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Moreover, these agreements might terminate for a variety of reasons, including a failure to perform by the third parties. If we need to enter into alternative arrangements our product development activities could be delayed and our business, financial condition, results of operations, stock price and prospects may be materially harmed.</w:t>
      </w:r>
    </w:p>
    <w:p>
      <w:pPr>
        <w:spacing w:after="0" w:line="68"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Our reliance on these third parties for development activities reduces our control over these activities. Nevertheless, we are responsible for ensuring that each of our studies is conducted in accordance with the applicable protocol, legal, regulatory, and scientific standards and our reliance on third parties does not relieve us of our regulatory responsibilities. For example, we will remain responsible for ensuring that each of our trials is conducted in accordance with the general investigational plan and protocols for the trial. We must also ensure that our preclinical studies are conducted in accordance with the FDA’s GLP regulations, as appropriate. Moreover, the FDA and comparable foreign regulatory authorities require us to comply with GCPs for conducting, recording, and reporting the results of clinical trials to assure that data and reported results are credible and accurate and that the rights, integrity, and confidentiality of trial participants are protected. Regulatory authorities enforce these requirements through periodic inspections of trial sponsors, clinical investigators, and trial sites. If we or any of our third parties fail to comply with applicable GCPs or other regulatory requirements, we or they may be subject to enforcement or other legal actions, the data generated in our trials may be deemed unreliable and the FDA or comparable foreign regulatory authorities may require us to perform additional studies.</w:t>
      </w:r>
    </w:p>
    <w:p>
      <w:pPr>
        <w:spacing w:after="0" w:line="5"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In addition, we will be required to report certain financial interests of our third-party investigators if these relationships exceed certain financial thresholds or meet other criteria. The FDA or comparable foreign regulatory authorities may question the integrity of the data from those clinical trials conducted by investigators who may have conflicts of interest.</w:t>
      </w:r>
    </w:p>
    <w:p>
      <w:pPr>
        <w:spacing w:after="0" w:line="78"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We cannot assure you that upon inspection by a given regulatory authority, such regulatory authority will determine that any of our clinical trials comply with the applicable regulatory requirements. In addition, our clinical trials must be conducted with product candidates that were produced under cGMP regulations. Failure to comply with these regulations may require us to repeat clinical</w:t>
      </w:r>
    </w:p>
    <w:p>
      <w:pPr>
        <w:spacing w:after="0" w:line="2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38" w:name="page39"/>
    <w:bookmarkEnd w:id="38"/>
    <w:p>
      <w:pPr>
        <w:ind w:right="160"/>
        <w:spacing w:after="0" w:line="266" w:lineRule="auto"/>
        <w:rPr>
          <w:sz w:val="20"/>
          <w:szCs w:val="20"/>
          <w:color w:val="auto"/>
        </w:rPr>
      </w:pPr>
      <w:r>
        <w:rPr>
          <w:rFonts w:ascii="Times New Roman" w:cs="Times New Roman" w:eastAsia="Times New Roman" w:hAnsi="Times New Roman"/>
          <w:sz w:val="18"/>
          <w:szCs w:val="18"/>
          <w:color w:val="auto"/>
        </w:rPr>
        <w:t>trials, which would delay the regulatory approval process. We also are required to register certain clinical trials and post the results of certain completed clinical trials on a government-sponsored database, ClinicalTrials.gov, within specified timeframes. Failure to do so can result in enforcement actions and adverse publicity.</w:t>
      </w:r>
    </w:p>
    <w:p>
      <w:pPr>
        <w:spacing w:after="0" w:line="68"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third parties with which we work may also have relationships with other entities, some of which may be our competitors, for whom they may also be conducting trials or other therapeutic development activities that could harm our competitive position. In addition, such third parties are not our employees, and except for remedies available to us under our agreements with such third parties we cannot control whether or not they devote sufficient time and resources to the development of our product candidates. If these third parties do not successfully carry out their contractual duties, meet expected deadlines or conduct our preclinical studies or clinical trials in accordance with regulatory requirements or our stated protocols, if these parties are adversely impacted by a pandemic limiting or materially affecting their ability to carry out their contractual duties, if they need to be replaced or if the quality or accuracy of the data they obtain is compromised due to the failure to adhere to our protocols, regulatory requirements or for other reasons, our trials may be repeated, extended, delayed, or terminated; we may not be able to obtain, or may be delayed in obtaining, marketing approvals for current and future product candidates; we may not be able to, or may be delayed in our efforts to, successfully commercialize current and future product candidates; or we or they may be subject to regulatory enforcement actions. As a result, our results of operations and the commercial prospects for current and future product candidates may be harmed, our costs could increase and our ability to generate revenues could be delayed. To the extent we are unable to successfully identify and manage the performance of third-party service providers in the future, our business, financial condition, results of operations, stock price and prospects may be materially harmed.</w:t>
      </w:r>
    </w:p>
    <w:p>
      <w:pPr>
        <w:spacing w:after="0" w:line="7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We collaborate with academic institutions for the development of our product candidates, including, for instance, our collaboration with the University of Washington pursuant to which we are conducting preclinical studies for our solnerstotug program. We may enter into additional collaborations for our other current or future product candidates or technologies. We cannot control the timing or quantity of resources that our existing or future collaborators will dedicate to research, preclinical and clinical development. Our collaborators may not perform their obligations according to our expectations or standards of quality. Our collaborators could terminate our existing agreements for a number of reasons.</w:t>
      </w:r>
    </w:p>
    <w:p>
      <w:pPr>
        <w:spacing w:after="0" w:line="75"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We will also rely on other third parties to store and distribute our product candidates for the clinical trials that we plan to conduct. Any performance failure on the part of our distributors could delay clinical development, marketing approval, or commercialization of current and future product candidates, which could result in additional losses and deprive us of potential product revenue.</w:t>
      </w:r>
    </w:p>
    <w:p>
      <w:pPr>
        <w:spacing w:after="0" w:line="68"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If any of our relationships with these third parties terminate, we may not be able to enter into arrangements with alternative providers or to do so on commercially reasonable terms. Switching or adding additional third parties involves additional cost and requires management’s time and focus. In addition, there is a natural transition period when a new third party commences work. As a result, delays could occur, which could compromise our ability to meet our desired development timelines.</w:t>
      </w:r>
    </w:p>
    <w:p>
      <w:pPr>
        <w:spacing w:after="0" w:line="68" w:lineRule="exact"/>
        <w:rPr>
          <w:sz w:val="20"/>
          <w:szCs w:val="20"/>
          <w:color w:val="auto"/>
        </w:rPr>
      </w:pPr>
    </w:p>
    <w:p>
      <w:pPr>
        <w:ind w:left="26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current and future product candidates, including solnerstotug, will be evaluated in combination with third-party drugs, and we will have limited or no control over the supply, regulatory status, or regulatory approval of such drugs.</w:t>
      </w:r>
    </w:p>
    <w:p>
      <w:pPr>
        <w:spacing w:after="0" w:line="5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Certain of our current and future product candidates, including solnerstotug, will be evaluated in combination with checkpoint inhibitors, or CPIs. Our ability to develop and ultimately commercialize current and future product candidates used in combination with CPIs or other compounds will depend on our ability to access such drugs on commercially reasonable terms for clinical trials and their availability for use with the commercialized product, if approved. In January 2023, we entered into a supply agreement with Regeneron to evaluate solnerstotug in combination with cemiplimab in our Phase 1/2 clinical trial. However, we cannot be certain that such agreement or any future commercial relationships will provide us with a steady supply of such drugs on commercially reasonable terms or at all.</w:t>
      </w:r>
    </w:p>
    <w:p>
      <w:pPr>
        <w:spacing w:after="0" w:line="7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Any failure to enter into successful commercial relationships, or inability to source or purchase CPIs or other potential combination agents in the market, may delay our development timelines, increase our costs and jeopardize our ability to develop solnerstotug and other current and future product candidates as potential combination therapies, which may materially harm our business, financial condition, results of operations, stock price and prospects. Moreover, the development of product candidates for use in combination with another product or product candidate may present challenges that are not encountered when developing single-agent product candidates. For example, the FDA may require us to use more complex clinical trial designs in order to evaluate the contribution of each product and product candidate to any observed effects. Additionally, following product approval, the FDA may require that products used in conjunction with each other be cross labeled for combined use. To the extent that we do not have rights to the other product, this may require us to work with a third party under terms unfavorable to us to satisfy such a requirement. Moreover, developments related to the other product may impact our clinical trials for the combination as well as our commercial prospects should we receive marketing approval. Such developments may include changes to the other product’s safety or efficacy profile, changes to the availability of the approved product, and changes to the standard of care.</w:t>
      </w:r>
    </w:p>
    <w:p>
      <w:pPr>
        <w:spacing w:after="0" w:line="86"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In the event that Regeneron or any potential future collaborator or supplier cannot continue to supply their products on commercially reasonable terms, we would need to identify alternatives for accessing such CPIs. Additionally, should the supply from</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9" w:name="page40"/>
    <w:bookmarkEnd w:id="39"/>
    <w:p>
      <w:pPr>
        <w:ind w:right="20"/>
        <w:spacing w:after="0" w:line="266" w:lineRule="auto"/>
        <w:rPr>
          <w:sz w:val="20"/>
          <w:szCs w:val="20"/>
          <w:color w:val="auto"/>
        </w:rPr>
      </w:pPr>
      <w:r>
        <w:rPr>
          <w:rFonts w:ascii="Times New Roman" w:cs="Times New Roman" w:eastAsia="Times New Roman" w:hAnsi="Times New Roman"/>
          <w:sz w:val="18"/>
          <w:szCs w:val="18"/>
          <w:color w:val="auto"/>
        </w:rPr>
        <w:t>Regeneron or any future collaborator or supplier be interrupted, delayed or otherwise be unavailable to us or our collaborators, our clinical collaborations may be delayed. In the event we are unable to source an alternative supply, or are unable to do so on commercially reasonable terms, our business, financial condition, results of operations, stock price and prospects may be materially harmed.</w:t>
      </w:r>
    </w:p>
    <w:p>
      <w:pPr>
        <w:spacing w:after="0" w:line="64" w:lineRule="exact"/>
        <w:rPr>
          <w:sz w:val="20"/>
          <w:szCs w:val="20"/>
          <w:color w:val="auto"/>
        </w:rPr>
      </w:pPr>
    </w:p>
    <w:p>
      <w:pPr>
        <w:ind w:left="260"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currently rely on CMOs for the production of solnerstotug and we expect to rely on CMOs for our other product candidates. This reliance on CMOs increases the risk that we will not have sufficient quantities of such materials, product candidates, or any therapies that we may develop and commercialize, or that such supply will not be available to us at an acceptable cost, which could delay, prevent, or impair our development or commercialization efforts.</w:t>
      </w:r>
    </w:p>
    <w:p>
      <w:pPr>
        <w:spacing w:after="0" w:line="7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currently have no plans to build our own clinical or commercial scale manufacturing capabilities for our TMAb product candidates. Instead, we expect to rely on third parties for the manufacture of our product candidates and related raw materials for future preclinical and clinical development, as well as for commercial manufacture if any of our product candidates receive marketing approval. We have entered into arrangements with a limited number of third-party contract manufacturing organizations, or CMOs, as part of our development of our TMAb product candidates. These CMOs will provide drug substance intermediate and drug product that will be subsequently labeled, packaged and distributed to our CROs. We may also enter into agreements with additional companies for the supply of substances for use in the development of our TMAb product candidates or any future product candidates or for the manufacture of such product candidates.</w:t>
      </w:r>
    </w:p>
    <w:p>
      <w:pPr>
        <w:spacing w:after="0" w:line="8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or our third-party suppliers or manufacturers may encounter shortages in the raw materials or active pharmaceutical ingredient, or API, necessary to produce solnerstotug or any other current and future product candidates we may develop in the quantities needed for our clinical trials or, if any current or future product candidates we may develop are approved, in sufficient quantities for commercialization or to meet an increase in demand, as a result of capacity constraints or delays or disruptions in the market for the raw materials or API, including shortages caused by the purchase of such raw materials or API by our competitors or others. Even if raw materials or API are available, we may be unable to obtain sufficient quantities at an acceptable cost or quality. The failure by us or our third-party suppliers or manufacturers to obtain the raw materials or API necessary to manufacture sufficient quantities of any current or future product candidates we may develop could delay, prevent or impair our development efforts and may have a material adverse effect on our business.</w:t>
      </w:r>
    </w:p>
    <w:p>
      <w:pPr>
        <w:spacing w:after="0" w:line="8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facilities used by third-party manufacturers to manufacture solnerstotug or any other current or future product candidates must be authorized by the FDA pursuant to inspections that will be conducted after we submit a BLA to the FDA. We do not control the manufacturing process of, and are completely dependent on, third-party manufacturers for compliance with cGMP requirements for manufacture of drug products and other laws and regulations. If these third-party manufacturers cannot successfully manufacture material that conforms to our specifications and the strict regulatory requirements of the FDA or others, they will not be able to secure and maintain regulatory approval for their manufacturing facilities. In addition, we have no control over the ability of third-party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could significantly impact our ability to develop, obtain regulatory approval for or market our product candidates, if approved.</w:t>
      </w:r>
    </w:p>
    <w:p>
      <w:pPr>
        <w:spacing w:after="0" w:line="80"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Finding new CMOs or third-party suppliers involves additional cost and requires our management’s time and focus. In addition, there is typically a transition period when a new CMO commences work. Although we do not intend to begin a clinical trial unless we believe we have on hand, or will be able to obtain, a sufficient supply of our product candidates to complete the clinical trial, any significant delay in the supply of our product candidates or the raw materials needed to produce our product candidates, could considerably delay conducting our clinical trials and potential regulatory approval of any of our product candidates. Additionally, any changes implemented by a new CMO could delay completion of clinical trials, require the conduct of bridging clinical trials or studies, require the repetition of one or more clinical trials, increase clinical trial costs, delay approval of our current and future product candidates and jeopardize our ability to commence product sales and generate revenue.</w:t>
      </w:r>
    </w:p>
    <w:p>
      <w:pPr>
        <w:spacing w:after="0" w:line="8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If any CMO with whom we contract fails to perform its obligations, we may be forced to manufacture the materials ourselves, for which we may not have the capabilities or resources, or enter into an agreement with a different CMO, which we may not be able to do on reasonable terms, if at all. In either scenario, our clinical trials or commercial supply could be delayed significantly as we establish alternative supply sources. In some cases, the technical skills required to manufacture our products or product candidates may be unique or proprietary to the original CMO and we may have difficulty, or there may be contractual restrictions prohibiting us from, transferring such skills to a back-up or alternate supplier, or we may be unable to transfer such skills at all. In addition, if we are required to change CMOs for any reason, we will be required to verify that the new CMO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or approved by the FDA or another regulatory authority. The delays associated with the verification of a new CMO could negatively affect our ability to develop product candidates or commercialize our products in a timely manner or within budget. Furthermore, a CMO may possess technology related to the manufacture of our product candidates that such CMO owns independently. This would increase our reliance on such CMO or require us to obtain a license from such CMO in order to have</w:t>
      </w: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0" w:name="page41"/>
    <w:bookmarkEnd w:id="40"/>
    <w:p>
      <w:pPr>
        <w:spacing w:after="0" w:line="261" w:lineRule="auto"/>
        <w:rPr>
          <w:sz w:val="20"/>
          <w:szCs w:val="20"/>
          <w:color w:val="auto"/>
        </w:rPr>
      </w:pPr>
      <w:r>
        <w:rPr>
          <w:rFonts w:ascii="Times New Roman" w:cs="Times New Roman" w:eastAsia="Times New Roman" w:hAnsi="Times New Roman"/>
          <w:sz w:val="18"/>
          <w:szCs w:val="18"/>
          <w:color w:val="auto"/>
        </w:rPr>
        <w:t>another CMO manufacture our product candidates or products. In addition, in the case of CMOs that supply our product candidates,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As part of their manufacture of our product candidates, our CMO and third-party suppliers are expected to comply with and respect the intellectual property and proprietary rights of others. If our CMO or third-party supplier fails to acquire the proper licenses or otherwise infringes, misappropriates or otherwise violates the intellectual property or proprietary rights of others in the course of providing services to us, we may have to find alternative CMOs or third-party suppliers or defend against applicable claims, either of which could significantly impact our ability to develop, obtain regulatory approval for or commercialize our product candidates, if approved.</w:t>
      </w:r>
    </w:p>
    <w:p>
      <w:pPr>
        <w:spacing w:after="0" w:line="75"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Our failure, or the failure of our third-party manufacturers, to comply with applicable regulations could result in sanctions being imposed on us, including clinical holds, fines, injunctions, civil penalties, delays, suspension or withdrawal of approvals, seizures or recalls of product candidates or products, operating restrictions and criminal prosecutions, any of which could significantly and adversely affect supplies of our products. In addition, we may be unable to establish any agreements with third-party manufacturers or to do so on acceptable terms.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Even if we are able to establish agreements with third-party manufacturers, reliance on third-party manufacturers entails additional risks, including:</w:t>
      </w:r>
    </w:p>
    <w:p>
      <w:pPr>
        <w:spacing w:after="0" w:line="117"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third-party manufacturers to comply with regulatory requirements and maintain quality assurance;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of the manufacturing agreement by the third party;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manufacture our product according to our specifications;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manufacture our product according to our schedule or at all;</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difficulties caused by unforeseen events that may delay the availability of one or more of the necessary raw materials or delay the manufacture of any current or future product candidates for use in clinical trials or for commercial supply;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misappropriation of our proprietary information, including our trade secrets and know-how;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nonrenewal of the agreement by the third party at a time that is costly or inconvenient for us.</w:t>
      </w:r>
    </w:p>
    <w:p>
      <w:pPr>
        <w:spacing w:after="0" w:line="117" w:lineRule="exact"/>
        <w:rPr>
          <w:sz w:val="20"/>
          <w:szCs w:val="20"/>
          <w:color w:val="auto"/>
        </w:rPr>
      </w:pPr>
    </w:p>
    <w:p>
      <w:pPr>
        <w:jc w:val="both"/>
        <w:ind w:right="40" w:firstLine="509"/>
        <w:spacing w:after="0" w:line="258" w:lineRule="auto"/>
        <w:rPr>
          <w:sz w:val="20"/>
          <w:szCs w:val="20"/>
          <w:color w:val="auto"/>
        </w:rPr>
      </w:pPr>
      <w:r>
        <w:rPr>
          <w:rFonts w:ascii="Times New Roman" w:cs="Times New Roman" w:eastAsia="Times New Roman" w:hAnsi="Times New Roman"/>
          <w:sz w:val="18"/>
          <w:szCs w:val="18"/>
          <w:color w:val="auto"/>
        </w:rPr>
        <w:t>Any product candidates that we may develop may compete with other product candidates and products for access to manufacturing facilities. Any performance failure on the part of our existing or future manufacturers could delay clinical development or marketing approval, and any related remedial measures may be costly or time-consuming to implement. We do not currently have arrangements in place for redundant supply or a second source for all required raw materials used in the manufacture of our product candidates. If our current third-party CMO cannot perform as agreed, we may be required to replace such manufacturer and we may be unable to replace them on a timely basis or at all.</w:t>
      </w:r>
    </w:p>
    <w:p>
      <w:pPr>
        <w:spacing w:after="0" w:line="71" w:lineRule="exact"/>
        <w:rPr>
          <w:sz w:val="20"/>
          <w:szCs w:val="20"/>
          <w:color w:val="auto"/>
        </w:rPr>
      </w:pPr>
    </w:p>
    <w:p>
      <w:pPr>
        <w:jc w:val="both"/>
        <w:ind w:left="260" w:right="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we rely on a limited number of suppliers for the raw materials used in our drug candidates, any delay, shortage or interruption in the supply of such raw materials or contamination in our manufacturing process could lead to delays in the manufacture and supply of our drug candidates.</w:t>
      </w:r>
    </w:p>
    <w:p>
      <w:pPr>
        <w:spacing w:after="0" w:line="6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rely on third-parties to supply certain raw materials necessary to produce our drug candidates for preclinical studies and clinical trials. For example, we rely on third-parties to supply certain reagents, which are substances used in our manufacturing processes to bring about chemical or biological reactions, and other specialty materials and equipment, some of which are manufactured or supplied by small companies with limited resources. There are a small number of suppliers for certain raw materials that we use to manufacture our drug candidates. We work with our CMOs to purchase these materials from our suppliers who may not always have long-term supply agreements in place, which could expose us to a variety of risks, including a potential inability to obtain critical materials and reduced control over production costs, delivery schedules, reliability and quality. Any unanticipated disruption to our contract manufacturing caused by problems at suppliers could delay shipment of our product candidates, increase our cost of goods sold and result in lost sales with respect to any approved products. Any significant delay in the supply of raw materials for our drug candidates for a preclinical study or a clinical trial due to the need to replace a third-party supplier could considerably delay completion of certain preclinical studies and/or clinical trials. Moreover, if we are unable to purchase sufficient raw materials after regulatory approval for our drug candidates, the commercial launch of our drug candidates could be delayed, or there could be a supply shortage, each of which could impair our ability to generate revenues from their sale.</w:t>
      </w:r>
    </w:p>
    <w:p>
      <w:pPr>
        <w:spacing w:after="0" w:line="84"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addition, a material shortage, contamination, recall or restriction on the use of substances in the manufacture of our drug candidates, or the failure of any of our key suppliers to deliver necessary components required for the manufacture of our drug candidates, could adversely impact or disrupt the commercial manufacture or the production of clinical material, which could</w:t>
      </w: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materially and adversely affect our development timelines and our business, financial condition, results of operations, and future prospects.</w:t>
      </w:r>
    </w:p>
    <w:p>
      <w:pPr>
        <w:spacing w:after="0" w:line="113" w:lineRule="exact"/>
        <w:rPr>
          <w:sz w:val="20"/>
          <w:szCs w:val="20"/>
          <w:color w:val="auto"/>
        </w:rPr>
      </w:pPr>
    </w:p>
    <w:p>
      <w:pPr>
        <w:ind w:left="260" w:right="3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have entered, and may in the future enter into, partnership agreements with third parties for the development and commercialization of our product candidates. Our prospects with respect to those product candidates will depend in significant part on the success of those collaborations.</w:t>
      </w:r>
    </w:p>
    <w:p>
      <w:pPr>
        <w:spacing w:after="0" w:line="28"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advancement of our product candidates and development programs and the potential commercialization of our current and future product candidates will require substantial additional cash to fund expenses. For some of our programs, we may decide to collaborate with additional pharmaceutical and biotechnology companies with respect to development and potential commercialization. As such, we have entered into and may seek to enter into additional collaborations or partnerships with third parties for the development and potential commercialization of our product candidates.</w:t>
      </w:r>
    </w:p>
    <w:p>
      <w:pPr>
        <w:spacing w:after="0" w:line="7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Should we seek to collaborate with a third party with respect to a prospective development program, we may not be able to locate a suitable partner or to enter into an agreement on commercially reasonable terms or at all. Even if we succeed in securing partners for the development and commercialization of our product candidates, we have limited control over the time and resources that our partners may dedicate to the development and commercialization of our product candidates. In order to optimize the launch and market penetration of certain of our future product candidates, we may enter into distribution and marketing agreements with pharmaceutical industry leaders. For these product candidates, we would not market our products alone once they have obtained marketing authorization. These partnerships pose a number of risks, including the following:</w:t>
      </w:r>
    </w:p>
    <w:p>
      <w:pPr>
        <w:spacing w:after="0" w:line="81" w:lineRule="exact"/>
        <w:rPr>
          <w:sz w:val="20"/>
          <w:szCs w:val="20"/>
          <w:color w:val="auto"/>
        </w:rPr>
      </w:pPr>
    </w:p>
    <w:p>
      <w:pPr>
        <w:ind w:left="1020" w:right="74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 may not have sufficient resources or decide not to devote the necessary resources due to internal constraints such as budget limitations, lack of human resources or a change in strategic focus;</w:t>
      </w:r>
    </w:p>
    <w:p>
      <w:pPr>
        <w:spacing w:after="0" w:line="53"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 may believe our intellectual property is not valid or is unenforceable or the product candidate infringes on the intellectual property rights of others;</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 may dispute their responsibility to conduct development and commercialization activities pursuant to the applicable collaboration, including the payment of related costs or the division of any revenues;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 may decide to pursue a competitive product developed outside of the collaboration arrangement;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 may not be able to obtain, or believe they cannot obtain, the necessary regulatory approvals; or</w:t>
      </w:r>
    </w:p>
    <w:p>
      <w:pPr>
        <w:spacing w:after="0" w:line="11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 may delay the development or commercialization of our product candidates in favor of developing or commercializing another party’s product candidate.</w:t>
      </w:r>
    </w:p>
    <w:p>
      <w:pPr>
        <w:spacing w:after="0" w:line="54"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Thus, partnership agreements may not lead to development, regulatory approval or successful commercialization of product candidates in the most efficient manner or at all. Some partnership agreements are terminable without cause on short notice. Once a partnership agreement is signed, it may not lead to regulatory approval and commercialization of a product candidate. We also face competition in seeking out partners. If we are unable to secure new collaborations that achieve the collaborator’s objectives and meet our expectations, we may be unable to advance our product candidates and may not generate meaningful revenues.</w:t>
      </w:r>
    </w:p>
    <w:p>
      <w:pPr>
        <w:spacing w:after="0" w:line="71" w:lineRule="exact"/>
        <w:rPr>
          <w:sz w:val="20"/>
          <w:szCs w:val="20"/>
          <w:color w:val="auto"/>
        </w:rPr>
      </w:pPr>
    </w:p>
    <w:p>
      <w:pPr>
        <w:ind w:left="26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CROs and consultants may engage in misconduct or other improper activities, including non-compliance with regulatory standards and requirements.</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We have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w:t>
      </w: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2" w:name="page43"/>
    <w:bookmarkEnd w:id="42"/>
    <w:p>
      <w:pPr>
        <w:ind w:right="20"/>
        <w:spacing w:after="0" w:line="282" w:lineRule="auto"/>
        <w:rPr>
          <w:sz w:val="20"/>
          <w:szCs w:val="20"/>
          <w:color w:val="auto"/>
        </w:rPr>
      </w:pPr>
      <w:r>
        <w:rPr>
          <w:rFonts w:ascii="Times New Roman" w:cs="Times New Roman" w:eastAsia="Times New Roman" w:hAnsi="Times New Roman"/>
          <w:sz w:val="18"/>
          <w:szCs w:val="18"/>
          <w:color w:val="auto"/>
        </w:rPr>
        <w:t>healthcare programs, contractual damages, reputational harm, diminished profits and future earnings, and curtailment of our operations, any of which could adversely affect our ability to operate our business and our results of operations.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of our Product Candidates and Other Legal Compliance Matters</w:t>
      </w:r>
    </w:p>
    <w:p>
      <w:pPr>
        <w:spacing w:after="0" w:line="117" w:lineRule="exact"/>
        <w:rPr>
          <w:sz w:val="20"/>
          <w:szCs w:val="20"/>
          <w:color w:val="auto"/>
        </w:rPr>
      </w:pPr>
    </w:p>
    <w:p>
      <w:pPr>
        <w:jc w:val="both"/>
        <w:ind w:left="26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authorities in other countries. Before we can commercialize any of our product candidates, we must obtain marketing approval. Currently, all of our product candidates are in development, and we have not received approval to market any of our product candidates from regulatory authorities in any jurisdiction. It is possible that our product candidates, including any product candidates we may seek to develop in the future, will never obtain regulatory approval. Whether the results from our clinical trials will suffice to obtain approval will be a review issue and the FDA may not grant approval and may require that we conduct one or more controlled clinical trials to obtain approval. Additionally, even if FDA does grant approval for one or more of our product candidates, it may be for a more narrow indication than we seek. Regulatory authorities, including the FDA, also may impose significant limitations in the form of narrow indications, warnings or a REMS. These regulatory authorities may require labeling that includes precautions or contra-indications with respect to conditions of use, or they may grant approval subject to the performance of costly post-marketing clinical trials. In addition, regulatory authorities may not approve the labeling claims that are necessary or desirable for the successful commercialization of any product candidates we may develop.</w:t>
      </w:r>
    </w:p>
    <w:p>
      <w:pPr>
        <w:spacing w:after="0" w:line="8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have only limited experience in filing and supporting the applications necessary to gain regulatory approvals and expect to rely on third-party CROs and/or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Our product candidates may not be effective, may be only moderately effective or may prove to have undesirable or unintended side effects, toxicities or other characteristics that may preclude our obtaining marketing approval or prevent or limit commercial use. In addition, regulatory authorities may find fault with our manufacturing process or facilities or that of third-party contract manufacturers. We may also face greater than expected difficulty in manufacturing our product candidates.</w:t>
      </w:r>
    </w:p>
    <w:p>
      <w:pPr>
        <w:spacing w:after="0" w:line="84"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process of obtaining regulatory approvals, both in the United States and abroad, is expensive and often takes many years. If the FDA or a comparable foreign regulatory authority requires that we perform additional preclinical studies or clinical trials, approval, if obtained at all, may be delayed. The length of such a delay varies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BLA, premarket approval application, or equivalent application types,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Our product candidates could be delayed in receiving, or fail to receive, regulatory approval for many reasons, including the following:</w:t>
      </w:r>
    </w:p>
    <w:p>
      <w:pPr>
        <w:spacing w:after="0" w:line="84" w:lineRule="exact"/>
        <w:rPr>
          <w:sz w:val="20"/>
          <w:szCs w:val="20"/>
          <w:color w:val="auto"/>
        </w:rPr>
      </w:pPr>
    </w:p>
    <w:p>
      <w:pPr>
        <w:ind w:left="1020" w:right="2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preclinical studies or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enroll a sufficient number of patients in our clinical studies;</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product candidate is safe and effective for its proposed indication or a related companion diagnostic is suitable to identify appropriate patient populations;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preclinical studies or clinical trials;</w:t>
      </w:r>
    </w:p>
    <w:p>
      <w:pPr>
        <w:spacing w:after="0" w:line="117" w:lineRule="exact"/>
        <w:rPr>
          <w:rFonts w:ascii="Times New Roman" w:cs="Times New Roman" w:eastAsia="Times New Roman" w:hAnsi="Times New Roman"/>
          <w:sz w:val="18"/>
          <w:szCs w:val="18"/>
          <w:color w:val="auto"/>
        </w:rPr>
      </w:pPr>
    </w:p>
    <w:p>
      <w:pPr>
        <w:ind w:left="1020" w:right="78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an NDA or other submission or to obtain regulatory approval in the United States or elsewhere;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3" w:name="page44"/>
    <w:bookmarkEnd w:id="43"/>
    <w:p>
      <w:pPr>
        <w:ind w:left="1020" w:right="16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find deficiencies with or fail to approve the manufacturing processes or facilities of third-party manufacturers with which we contract for clinical and commercial supplies;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such that our clinical data are insufficient for approval.</w:t>
      </w:r>
    </w:p>
    <w:p>
      <w:pPr>
        <w:spacing w:after="0" w:line="54"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Even if we were to obtain approval, regulatory authorities may approve any of our product candidates for fewer or more limited indications than we request, thereby narrowing the commercial potential of the product candidate. In addition, regulatory authorities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75"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If we experience delays in obtaining approval or if we fail to obtain approval of our product candidates, the commercial prospects for our product candidates may be harmed and our ability to generate revenues will be materially impaired.</w:t>
      </w:r>
    </w:p>
    <w:p>
      <w:pPr>
        <w:spacing w:after="0" w:line="50" w:lineRule="exact"/>
        <w:rPr>
          <w:sz w:val="20"/>
          <w:szCs w:val="20"/>
          <w:color w:val="auto"/>
        </w:rPr>
      </w:pPr>
    </w:p>
    <w:p>
      <w:pPr>
        <w:ind w:left="260"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of our product candidates in one jurisdiction does not guarantee that we will be successful in obtaining regulatory approval of our product candidates in other jurisdictions.</w:t>
      </w:r>
    </w:p>
    <w:p>
      <w:pPr>
        <w:spacing w:after="0" w:line="5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may submit marketing applications in countries other than the United States.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spacing w:after="0" w:line="75"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nonclinical studies or clinical trials as clinical trials conducted in one jurisdiction may not be accepted by regulatory authorities in other jurisdictions. In short, the foreign regulatory approval process involves all of the risks associated with FDA approval. In many jurisdictions outside the United States, a product candidate must be approved for reimbursement before it can be approved for sale in that jurisdiction. In some cases, the price that we may intend to charge for our products will also be subject to approval.</w:t>
      </w:r>
    </w:p>
    <w:p>
      <w:pPr>
        <w:spacing w:after="0" w:line="76" w:lineRule="exact"/>
        <w:rPr>
          <w:sz w:val="20"/>
          <w:szCs w:val="20"/>
          <w:color w:val="auto"/>
        </w:rPr>
      </w:pPr>
    </w:p>
    <w:p>
      <w:pPr>
        <w:ind w:left="260" w:right="160"/>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post-market study requirements, marketing and labeling restrictions, and even recall or market withdrawal if unanticipated safety issues are discovered following approval. In addition, we may be subject to penalties or other enforcement action if we fail to comply with regulatory requirements.</w:t>
      </w:r>
    </w:p>
    <w:p>
      <w:pPr>
        <w:spacing w:after="0" w:line="57"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If the FDA or a comparable foreign regulatory authority approves any of our product candidates, the manufacturing processes, labeling, packaging, distribution, storage, advertising, promotion, import, export, recordkeeping, monitoring, and reporting for our product will be subject to extensive and ongoing regulatory requirements. These requirements include submissions of safety and other post-marketing information and reports, establishment registration and listing, as well as continued compliance with cGMPs and GCPs for any clinical trials that we conduct post-approval. Any regulatory approvals that we receive for our product candidates may also be subject to limitations on the approved indicated uses for which the product may be marketed or to the conditions of approval, or contain requirements for potentially costly post-marketing studies, including Phase 4 clinical trials, and surveillance to monitor the safety and efficacy of the product.</w:t>
      </w:r>
    </w:p>
    <w:p>
      <w:pPr>
        <w:spacing w:after="0" w:line="8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FDA may require a REMS in order to approve our product candidates, which could entail requirements for a medication guide, physician communication plans or additional elements to ensure safe use, such as restricted distribution methods, patient registries and other risk minimization tools.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72" w:lineRule="exact"/>
        <w:rPr>
          <w:sz w:val="20"/>
          <w:szCs w:val="20"/>
          <w:color w:val="auto"/>
        </w:rPr>
      </w:pPr>
    </w:p>
    <w:p>
      <w:pPr>
        <w:ind w:left="1020" w:right="8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withdrawal of the product from the market, or voluntary or mandatory product recalls;</w:t>
      </w:r>
    </w:p>
    <w:p>
      <w:pPr>
        <w:spacing w:after="0" w:line="53"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revision to the labeling, including limitations on approved uses or the addition of additional warnings, contraindications or other safety information, including boxed warnings;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REMS, which may include distribution or use restrictions;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4" w:name="page45"/>
    <w:bookmarkEnd w:id="44"/>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additional post-market clinical trials to assess the safety of the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other regulatory enforcement action;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17"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which could adversely affect our business, prospects and ability to achieve or sustain profitability.</w:t>
      </w:r>
    </w:p>
    <w:p>
      <w:pPr>
        <w:spacing w:after="0" w:line="68" w:lineRule="exact"/>
        <w:rPr>
          <w:sz w:val="20"/>
          <w:szCs w:val="20"/>
          <w:color w:val="auto"/>
        </w:rPr>
      </w:pPr>
    </w:p>
    <w:p>
      <w:pPr>
        <w:ind w:left="260" w:righ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validate, develop and obtain regulatory approval for any required companion diagnostic tests for our product candidates or experience significant delays in doing so, we may fail to obtain approval or may not realize the full commercial potential of these product candidates.</w:t>
      </w:r>
    </w:p>
    <w:p>
      <w:pPr>
        <w:spacing w:after="0" w:line="6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connection with the clinical development of our product candidates for certain indications, we may develop or engage third parties to develop or obtain access to in vitro companion diagnostic tests to identify patient subsets within a disease category who may derive benefit from our product candidates. Such companion diagnostics may be used during our clinical trials and may be required in connection with the FDA approval of our product candidates. To be successful, we or our collaborators will need to address a number of scientific, technical, regulatory and logistical challenges. Companion diagnostics are subject to regulation by the FDA, EMA and other regulatory authorities as medical devices and require separate regulatory approval prior to commercialization.</w:t>
      </w:r>
    </w:p>
    <w:p>
      <w:pPr>
        <w:spacing w:after="0" w:line="79"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We may rely on third parties for the design, development and manufacture of companion diagnostic tests for our therapeutic product candidates that may require such tests. If we enter into such collaborative agreements, we will be dependent on the sustained cooperation and effort of our future collaborators in developing and obtaining approval for these companion diagnostics. We and our future collaborators may encounter difficulties in developing and obtaining approval for the companion diagnostics, including issues relating to selectivity/specificity, analytical validation, reproducibility, or clinical validation of companion diagnostics. We and our future collaborators also may encounter difficulties in developing, obtaining regulatory approval for, manufacturing and commercializing companion diagnostics similar to those we face with respect to our therapeutic product candidates themselves, including issues with achieving regulatory clearance or approval, production of sufficient quantities at commercial scale and with appropriate quality standards, and in gaining market acceptance. If we are unable to successfully develop companion diagnostics for these therapeutic product candidates, or experience delays in doing so, the development of these therapeutic product candidates may be adversely affected, these therapeutic product candidates may not obtain marketing approval or such approval may be delayed, and we may not realize the full commercial potential of any of these therapeutics that obtain marketing approval. As a result, our business, results of operations and financial condition could be materially harmed. In addition, a diagnostic company with whom we contract may decide to discontinue developing, selling or manufacturing the companion diagnostic test that we anticipate using in connection with development and commercialization of our product candidates or our relationship with such diagnostic company may otherwise terminate. We may not be able to enter into arrangements with another diagnostic company to obtain supplies of an alternative diagnostic test for use in connection with the development and commercialization of our product candidates or do so on commercially reasonable terms, which could adversely affect and/or delay the development or commercialization of our therapeutic product candidates.</w:t>
      </w:r>
    </w:p>
    <w:p>
      <w:pPr>
        <w:spacing w:after="0" w:line="83" w:lineRule="exact"/>
        <w:rPr>
          <w:sz w:val="20"/>
          <w:szCs w:val="20"/>
          <w:color w:val="auto"/>
        </w:rPr>
      </w:pPr>
    </w:p>
    <w:p>
      <w:pPr>
        <w:ind w:left="260"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healthcare professionals, and third-party payors will be subject to applicable anti-kickback, fraud and abuse and other healthcare laws and regulations, which could expose us to significant penalties, including criminal sanctions, administrative civil penalties, exclusion from government healthcare programs, contractual damages, reputational harm and diminished profits and future earnings.</w:t>
      </w:r>
    </w:p>
    <w:p>
      <w:pPr>
        <w:spacing w:after="0" w:line="67" w:lineRule="exact"/>
        <w:rPr>
          <w:sz w:val="20"/>
          <w:szCs w:val="20"/>
          <w:color w:val="auto"/>
        </w:rPr>
      </w:pPr>
    </w:p>
    <w:p>
      <w:pPr>
        <w:ind w:right="200" w:firstLine="509"/>
        <w:spacing w:after="0" w:line="254" w:lineRule="auto"/>
        <w:rPr>
          <w:sz w:val="20"/>
          <w:szCs w:val="20"/>
          <w:color w:val="auto"/>
        </w:rPr>
      </w:pPr>
      <w:r>
        <w:rPr>
          <w:rFonts w:ascii="Times New Roman" w:cs="Times New Roman" w:eastAsia="Times New Roman" w:hAnsi="Times New Roman"/>
          <w:sz w:val="18"/>
          <w:szCs w:val="18"/>
          <w:color w:val="auto"/>
        </w:rPr>
        <w:t>Our current and future business operations and activities may subject us to additional healthcare statutory and regulatory requirements and enforcement by the federal government and the states and foreign governments in which we conduct our business. Healthcare providers and third-party payors play a primary role in the recommendation and prescription of any product candidates for which we obtain marketing approval. Our current and future arrangements with healthcare professionals, third-party payors and customers may expose us to broadly applicable fraud and abuse and other healthcare laws and regulations that may constrain the business or financial arrangements and relationships through which we research as well as market, sell and distribute our product candidates for which we obtain marketing approval. These laws and regulations may restrict or prohibit a wide range of ownership, pricing, discounting, marketing and promotion, structuring and commission(s), certain customer incentive programs and other business arrangements generally. Restrictions under applicable federal and state healthcare laws and regulations, include the following:</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5" w:name="page46"/>
    <w:bookmarkEnd w:id="45"/>
    <w:p>
      <w:pPr>
        <w:ind w:left="1020" w:right="40" w:hanging="503"/>
        <w:spacing w:after="0" w:line="256"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prohibits, among other things, persons and entities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The Anti-Kickback Statute has been interpreted to apply to arrangements between pharmaceutical manufacturers, on the one hand, and prescribers, purchasers and formulary managers, on the other. A person or entity does not need to have actual knowledge of the statute or specific intent to violate it in order to have committed a violation;</w:t>
      </w:r>
    </w:p>
    <w:p>
      <w:pPr>
        <w:spacing w:after="0" w:line="79" w:lineRule="exact"/>
        <w:rPr>
          <w:rFonts w:ascii="Times New Roman" w:cs="Times New Roman" w:eastAsia="Times New Roman" w:hAnsi="Times New Roman"/>
          <w:sz w:val="18"/>
          <w:szCs w:val="18"/>
          <w:color w:val="auto"/>
        </w:rPr>
      </w:pPr>
    </w:p>
    <w:p>
      <w:pPr>
        <w:ind w:left="1020" w:right="80" w:hanging="503"/>
        <w:spacing w:after="0" w:line="256"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including the federal False Claims Act, or FCA, which can be enforced through civil whistleblower or qui tam actions, and civil monetary penalties laws, which impose criminal and civil penalties against individuals or entities for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and services resulting from a violation of the federal Anti-Kickback Statute constitutes a false of fraudulent claim for purposes of the FCA;</w:t>
      </w:r>
    </w:p>
    <w:p>
      <w:pPr>
        <w:spacing w:after="0" w:line="79" w:lineRule="exact"/>
        <w:rPr>
          <w:rFonts w:ascii="Times New Roman" w:cs="Times New Roman" w:eastAsia="Times New Roman" w:hAnsi="Times New Roman"/>
          <w:sz w:val="18"/>
          <w:szCs w:val="18"/>
          <w:color w:val="auto"/>
        </w:rPr>
      </w:pPr>
    </w:p>
    <w:p>
      <w:pPr>
        <w:ind w:left="1020" w:right="20" w:hanging="503"/>
        <w:spacing w:after="0" w:line="258"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imposes criminal and civil liability for executing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75" w:lineRule="exact"/>
        <w:rPr>
          <w:rFonts w:ascii="Times New Roman" w:cs="Times New Roman" w:eastAsia="Times New Roman" w:hAnsi="Times New Roman"/>
          <w:sz w:val="18"/>
          <w:szCs w:val="18"/>
          <w:color w:val="auto"/>
        </w:rPr>
      </w:pPr>
    </w:p>
    <w:p>
      <w:pPr>
        <w:ind w:left="1020" w:right="80" w:hanging="503"/>
        <w:spacing w:after="0" w:line="256"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 transparency requirements, sometimes referred to as the “Sunshine Act” under the ACA, require certain manufacturers of drugs, devices, biologics and medical supplies that are reimbursable under Medicare, Medicaid, or the Children’s Health Insurance Program to report to the Centers for Medicare &amp; Medicaid Services, or CMS, information related to transfers of value made to physicians (currently defined to include doctors, dentists, optometrists, podiatrists and chiropractors), other healthcare professionals (such as nurse practitioners and physicians assistants), and teaching hospitals, as well as information regarding ownership and investment interests of such physicians and their immediate family members;</w:t>
      </w:r>
    </w:p>
    <w:p>
      <w:pPr>
        <w:spacing w:after="0" w:line="79"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or HITECH, and its implementing regulations, impose obligations on certain covered entity healthcare providers, health plans, and healthcare clearinghouses and their business associates that perform certain services involving the use or disclosure of individually identifiable health information as well as their covered subcontractors, including mandatory contractual terms, with respect to safeguarding the privacy, security and transmission of individually identifiable health information; and</w:t>
      </w:r>
    </w:p>
    <w:p>
      <w:pPr>
        <w:spacing w:after="0" w:line="75"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laws and regulations, such as state anti-kickback and false claims laws may apply to sales or marketing arrangements and claims involving healthcare items or services reimbursed by non-governmental third-party payors, including private insurers.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Some state and local laws require the registration of pharmaceutical sales representatives. Further, many state laws governing the privacy and security of health information in certain circumstances, differ from each other in significant ways and often are not preempted by HIPAA, thus complicating compliance efforts.</w:t>
      </w:r>
    </w:p>
    <w:p>
      <w:pPr>
        <w:spacing w:after="0" w:line="81"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regulatory safe harbors available, it is possible that some of our business activities, including compensation of physicians with stock or stock options, could, despite efforts to comply, be subject to challenge under current or future statutes, regulations or case law interpreting applicable fraud and abuse or other healthcare laws and regulations. Ensuring that our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disgorgement, imprisonment, exclusion from government funded healthcare programs, such as Medicare and Medicaid, contractual damages, integrity oversight and reporting obligations, reputational harm, diminished profits and future earnings, and the curtailment or restructuring of our operations, any of which could adversely affect our ability to operate our business and our results of operations. If any of the physicians or other providers or entities with whom we expect to do business is found not to be in compliance with applicable laws, they may be subject to significant criminal, civil or administrative sanctions, including exclusions from government funded healthcare programs. In addition, the approval and commercialization of any of our product candidates outside the United States will also likely subject us to foreign equivalents of the healthcare laws mentioned above, among other foreign laws.</w:t>
      </w: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6" w:name="page47"/>
    <w:bookmarkEnd w:id="46"/>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reform measures may have a material adverse effect on our business and results of operations.</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 U.S. and many foreign jurisdictions have enacted or proposed legislative and regulatory changes affecting the healthcare system that could prevent or delay marketing approval of our current or future product candidates or any future product candidates, restrict or regulate post-approval activities and affect our ability to profitably sell a product for which we obtain marketing approval. 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 In the U.S., there have been and continue to be a number of legislative initiatives to contain healthcare costs. For example, in March 2010, Patient Protection and Affordable Care Act, as amended by the Health Care and Education Reconciliation Act, or the ACA was passed, which substantially changed the way healthcare is financed by both governmental and private insurers, and significantly impacted the U.S. pharmaceutical industry. The ACA, among other things, subjected biological products to potential competition by lower-cost biosimilars, addressed a new methodology by which rebates owed by manufacturers under the Medicaid Drug Rebate Program are calculated for drugs that are inhaled, infused, instilled, implanted or injected, increases the minimum Medicaid rebates owed by manufacturers under the Medicaid Drug Rebate Program and extended the rebate program to individuals enrolled in Medicaid managed care organizations, established annual fees and taxes on manufacturers of certain branded prescription drugs, and created a new Medicare Part D coverage gap discount program, in which manufacturers must agree to offer 70% (increased pursuant to the Bipartisan Budget Act of 2018, effective as of 2019) point-of-sale discounts off negotiated prices of applicable brand drugs to eligible beneficiaries during their coverage gap period, as a condition for the manufacturer’s outpatient drugs to be covered under Medicare Part D.</w:t>
      </w:r>
    </w:p>
    <w:p>
      <w:pPr>
        <w:spacing w:after="0" w:line="87" w:lineRule="exact"/>
        <w:rPr>
          <w:sz w:val="20"/>
          <w:szCs w:val="20"/>
          <w:color w:val="auto"/>
        </w:rPr>
      </w:pPr>
    </w:p>
    <w:p>
      <w:pPr>
        <w:jc w:val="both"/>
        <w:ind w:right="200" w:firstLine="509"/>
        <w:spacing w:after="0" w:line="258" w:lineRule="auto"/>
        <w:rPr>
          <w:sz w:val="20"/>
          <w:szCs w:val="20"/>
          <w:color w:val="auto"/>
        </w:rPr>
      </w:pPr>
      <w:r>
        <w:rPr>
          <w:rFonts w:ascii="Times New Roman" w:cs="Times New Roman" w:eastAsia="Times New Roman" w:hAnsi="Times New Roman"/>
          <w:sz w:val="18"/>
          <w:szCs w:val="18"/>
          <w:color w:val="auto"/>
        </w:rPr>
        <w:t>There have been executive, judicial and congressional challenges to certain aspects of the ACA. For example, on August 16, 2022, the Inflation Reduction Act of 2022, or IRA, was signed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through a newly established manufacturer discount program. It is unclear how any such challenges and the healthcare reform measures of the second Trump administration will impact the ACA and our business.</w:t>
      </w:r>
    </w:p>
    <w:p>
      <w:pPr>
        <w:spacing w:after="0" w:line="7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up to 2% per fiscal year, and, due to subsequent legislative amendments, will remain in effect until 2032 unless additional Congressional action is taken.</w:t>
      </w:r>
    </w:p>
    <w:p>
      <w:pPr>
        <w:spacing w:after="0" w:line="75"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There has been increasing legislative and enforcement interest in the U.S.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federal level, the IRA, among other things, (1) directs the U.S. Department of Health and Human Services, or HHS, to negotiate the price of certain high-expenditure single-source biologics that have been on the market for at least 11 years covered under Medicare, or the Medicare Drug Price Negotiation Program, and (2) imposes rebates under Medicare Part B and Medicare Part D to penalize price increases that outpace inflation. These provisions began to take effect progressively starting in fiscal year 2023. On August 15, 2024, HHS announced the agreed-upon prices of the first ten drugs that were subject to price negotiations, although the Medicare Drug Price Negotiation program is currently subject to legal challenges. On January 17, 2025, HHS selected fifteen additional products covered under Part D for price negotiation in 2025. Each year thereafter more Part B and Part D products will become subject to the Medicare Drug Price Negotiation Program.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w:t>
      </w:r>
    </w:p>
    <w:p>
      <w:pPr>
        <w:spacing w:after="0" w:line="7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w:t>
      </w:r>
    </w:p>
    <w:p>
      <w:pPr>
        <w:spacing w:after="0" w:line="79"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Additional health reform measures may continue and affect our business in unknown ways, particularly given the recent change in administration. The current Trump administration is pursuing policies to reduce regulations and expenditures across government including at HHS, the FDA, CMS and related agencies. These actions, presently directed by executive orders or memoranda from the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7" w:name="page48"/>
    <w:bookmarkEnd w:id="47"/>
    <w:p>
      <w:pPr>
        <w:spacing w:after="0" w:line="252" w:lineRule="auto"/>
        <w:rPr>
          <w:sz w:val="20"/>
          <w:szCs w:val="20"/>
          <w:color w:val="auto"/>
        </w:rPr>
      </w:pPr>
      <w:r>
        <w:rPr>
          <w:rFonts w:ascii="Times New Roman" w:cs="Times New Roman" w:eastAsia="Times New Roman" w:hAnsi="Times New Roman"/>
          <w:sz w:val="18"/>
          <w:szCs w:val="18"/>
          <w:color w:val="auto"/>
        </w:rPr>
        <w:t>Office of Management and Budget, may propose policy changes that create additional uncertainty for our business. These actions may include, for example, directives to reduce agency workforce, rescinding a Biden administration executive order tasking the Center for Medicare and Medicaid Innovation, or CMMI, to consider new payment and healthcare models to limit drug spending and eliminating the Biden administration’s executive order that directed HHS to establishing an AI task force and developing a strategic plan, and directing certain federal agencies to enforce existing law regarding hospital and price plan transparency and by standardizing prices across hospitals and health plans. Additionally, in its June 2024 decision in Loper Bright Enterprises v. Raimondo, or Loper Bright, the U.S. Supreme Court overturned the longstanding Chevron doctrine, under which courts were required to give deference to regulatory agencies’ reasonable interpretations of ambiguous federal statutes. The Loper Bright decision could result in additional legal challenges to current regulations and guidance issued by federal agencies applicable to our operations, including those issued by the FDA. Congress may introduce and ultimately pass health care related legislation that could impact the drug approval process and make changes to the Medicare Drug Price Negotiation Program created under the IRA. We expect that additional state and federal healthcare reform measures will be adopted in the future, particularly in light of the new U.S. presidential administration, any of which could limit the amounts that federal and state governments will pay for healthcare products and services, which could result in reduced demand for our current or future product candidates or additional pricing pressures. In particular any policy changes through CMS as well as local state Medicaid programs could have a significant impact on our business in light of the higher proportion of SCD patients that utilize Medicare and Medicaid programs to pay for treatments.</w:t>
      </w:r>
    </w:p>
    <w:p>
      <w:pPr>
        <w:spacing w:after="0" w:line="89" w:lineRule="exact"/>
        <w:rPr>
          <w:sz w:val="20"/>
          <w:szCs w:val="20"/>
          <w:color w:val="auto"/>
        </w:rPr>
      </w:pPr>
    </w:p>
    <w:p>
      <w:pPr>
        <w:ind w:right="140" w:firstLine="509"/>
        <w:spacing w:after="0" w:line="289" w:lineRule="auto"/>
        <w:rPr>
          <w:sz w:val="20"/>
          <w:szCs w:val="20"/>
          <w:color w:val="auto"/>
        </w:rPr>
      </w:pPr>
      <w:r>
        <w:rPr>
          <w:rFonts w:ascii="Times New Roman" w:cs="Times New Roman" w:eastAsia="Times New Roman" w:hAnsi="Times New Roman"/>
          <w:sz w:val="17"/>
          <w:szCs w:val="17"/>
          <w:color w:val="auto"/>
        </w:rPr>
        <w:t>Our revenue prospects could be affected by changes in healthcare spending and policy in the U.S.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50"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including repeal, replacement or significant revisions to the ACA. The continuing efforts of the government, insurance companies, managed care organizations and other payors of healthcare services to contain or reduce costs of healthcare and/or impose price controls may adversely affect:</w:t>
      </w:r>
    </w:p>
    <w:p>
      <w:pPr>
        <w:spacing w:after="0" w:line="72" w:lineRule="exact"/>
        <w:rPr>
          <w:sz w:val="20"/>
          <w:szCs w:val="20"/>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our current or future product candidates, if we obtain regulatory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set a price that we believe is fair for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coverage and reimbursement approval for a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and achieve or maintain profitability;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117"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Any reduction in reimbursement from Medicare or other government programs may result in a similar reduction in payments from private payors, which may adversely affect our future profitability.</w:t>
      </w:r>
    </w:p>
    <w:p>
      <w:pPr>
        <w:spacing w:after="0" w:line="50" w:lineRule="exact"/>
        <w:rPr>
          <w:sz w:val="20"/>
          <w:szCs w:val="20"/>
          <w:color w:val="auto"/>
        </w:rPr>
      </w:pPr>
    </w:p>
    <w:p>
      <w:pPr>
        <w:ind w:left="260"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the U.K. Bribery Act 2010, or the Bribery Act, the U.S. Foreign Corrupt Practices Act of 1977, as amended, or the FCPA, and other anti-corruption laws, as well as export control laws, import and customs laws, trade and economic sanctions laws and other laws governing our operations.</w:t>
      </w:r>
    </w:p>
    <w:p>
      <w:pPr>
        <w:spacing w:after="0" w:line="6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operations are subject to anti-corruption laws, including the Bribery Act, the FCPA, the U.S. domestic bribery statute contained in 18 U.S.C. §201, the U.S. Travel Act, and other anti-corruption laws that apply in countries where we do business. The Bribery Act, the FCPA and these other laws generally prohibit us and our employees and intermediaries from authorizing, promising, offering, or providing, directly or indirectly, improper or prohibited payments, or anything else of value, to government officials or other persons to obtain or retain business or gain some other business advantage. Under the Bribery Act, we may also be liable for failing to prevent a person associated with us from committing a bribery offense. We and our commercial partners operate in a number of jurisdictions that pose a high risk of potential Bribery Act, or FCPA, violations, and we participate in collaborations and relationships with third parties whose corrupt or illegal activities could potentially subject us to liability under the Bribery Act, FCPA or local anti-corruption laws, even if we do not explicitly authorize or have actual knowledge of such activities. In addition, we cannot predict the nature, scope or effect of future regulatory requirements to which our international operations might be subject or the manner in which existing laws might be administered or interpreted.</w:t>
      </w:r>
    </w:p>
    <w:p>
      <w:pPr>
        <w:spacing w:after="0" w:line="86"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We are also subject to other laws and regulations governing our international operations, including regulations administered by the governments of the United Kingdom and the United States, and authorities in the European Union, including applicable export control regulations, economic sanctions and embargoes on certain countries and persons, anti-money laundering laws, import and customs requirements and currency exchange regulations, collectively referred to as the Trade Control laws.</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8" w:name="page49"/>
    <w:bookmarkEnd w:id="48"/>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There is no assurance that we will be completely effective in ensuring our compliance with all applicable anti-corruption laws, including the Bribery Act, the FCPA or other legal requirements, including Trade Control laws. If we are not in compliance with the Bribery Act, the FCPA and other anti-corruption laws or Trade Control laws, we may be subject to criminal and civil penalties, disgorgement and other sanctions and remedial measures, and legal expenses, which could have an adverse impact on our business, financial condition, results of operations and liquidity. Likewise, any investigation of any potential violations of the Bribery Act, the FCPA, other anti-corruption laws or Trade Control laws by United Kingdom, United States or other authorities could also have an adverse impact on our reputation, our business, results of operations and financial condition.</w:t>
      </w:r>
    </w:p>
    <w:p>
      <w:pPr>
        <w:spacing w:after="0" w:line="75" w:lineRule="exact"/>
        <w:rPr>
          <w:sz w:val="20"/>
          <w:szCs w:val="20"/>
          <w:color w:val="auto"/>
        </w:rPr>
      </w:pPr>
    </w:p>
    <w:p>
      <w:pPr>
        <w:ind w:left="26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86"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or liabilities, which could materially adversely affect our business, financial condition, results of operations and prospects.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of our Product Candidates</w:t>
      </w:r>
    </w:p>
    <w:p>
      <w:pPr>
        <w:spacing w:after="0" w:line="117" w:lineRule="exact"/>
        <w:rPr>
          <w:sz w:val="20"/>
          <w:szCs w:val="20"/>
          <w:color w:val="auto"/>
        </w:rPr>
      </w:pPr>
    </w:p>
    <w:p>
      <w:pPr>
        <w:ind w:lef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marketing and distribution capabilities for our product candidates, or enter into sales, marketing and distribution agreements with third parties, we may not be successful in commercializing our product candidates, if approved.</w:t>
      </w:r>
    </w:p>
    <w:p>
      <w:pPr>
        <w:spacing w:after="0" w:line="51"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We currently plan to work to build our global commercialization capabilities internally over time such that we are able to commercialize any product candidate for which we may obtain regulatory approval. However, we currently have no sales, marketing or distribution capabilities and have no experience in marketing or distributing pharmaceutical products. To achieve commercial success for any product candidate for which we may obtain marketing approval, we will need to expand our sales and marketing organization and establish logistics and distribution processes to commercialize and deliver our product candidates to patients and healthcare providers. The development of sales, marketing and distribution capabilities will require substantial resources, will be time-consuming and could delay any product launch.</w:t>
      </w:r>
    </w:p>
    <w:p>
      <w:pPr>
        <w:spacing w:after="0" w:line="7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If we are unable or decide not to establish internal sales, marketing and distribution capabilities, we would have to pursue collaborative arrangements regarding the sales and marketing of our products. However, we may not be successful in entering into arrangements with third parties to sell, market and distribute our product candidates or may be unable to do so on terms that are favorable to us, or if we are able to do so, that they would be effective and successful in commercializing our products. Our product revenues and our profitability, if any, would likely to be lower than if we were to sell, market and distribute any product candidates that we develop ourselves. In addition, we would have limited control over such third parties, and any of them may fail to devote the necessary resources and attention to sell and market our product candidates effectively.</w:t>
      </w:r>
    </w:p>
    <w:p>
      <w:pPr>
        <w:spacing w:after="0" w:line="7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If we do not establish sales, marketing and distribution capabilities successfully, either on our own or in collaboration with third parties, we will not be successful in commercializing our product candidates in the United States or overseas.</w:t>
      </w:r>
    </w:p>
    <w:p>
      <w:pPr>
        <w:spacing w:after="0" w:line="50" w:lineRule="exact"/>
        <w:rPr>
          <w:sz w:val="20"/>
          <w:szCs w:val="20"/>
          <w:color w:val="auto"/>
        </w:rPr>
      </w:pPr>
    </w:p>
    <w:p>
      <w:pPr>
        <w:ind w:left="26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a rapidly changing industry and face significant competition, which may result in others discovering, developing or commercializing products before or more successfully than we do.</w:t>
      </w:r>
    </w:p>
    <w:p>
      <w:pPr>
        <w:spacing w:after="0" w:line="5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development and commercialization of new biopharmaceutical products is highly competitive and subject to rapid and significant technological advancements. We face competition from major multi-national pharmaceutical companies, biotechnology companies and specialty pharmaceutical companies with respect to our current and future product candidates that we may develop and commercialize in the future. There are a number of large pharmaceutical and biotechnology companies that currently market and sell products or are pursuing the development of product candidates for the treatment of cancer. Smaller or early-stage companies may</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9" w:name="page50"/>
    <w:bookmarkEnd w:id="49"/>
    <w:p>
      <w:pPr>
        <w:ind w:right="400"/>
        <w:spacing w:after="0" w:line="282" w:lineRule="auto"/>
        <w:rPr>
          <w:sz w:val="20"/>
          <w:szCs w:val="20"/>
          <w:color w:val="auto"/>
        </w:rPr>
      </w:pPr>
      <w:r>
        <w:rPr>
          <w:rFonts w:ascii="Times New Roman" w:cs="Times New Roman" w:eastAsia="Times New Roman" w:hAnsi="Times New Roman"/>
          <w:sz w:val="18"/>
          <w:szCs w:val="18"/>
          <w:color w:val="auto"/>
        </w:rPr>
        <w:t>also prove to be significant competitors, particularly through collaborative arrangements with large, established companies. Potential competitors also include academic institutions, government agencies and other public and private research organizations.</w:t>
      </w:r>
    </w:p>
    <w:p>
      <w:pPr>
        <w:spacing w:after="0" w:line="54"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 addition to the current standard of care treatments for patients with cancers, numerous commercial and academic preclinical studies and clinical trials are being undertaken by a large number of parties to assess novel technologies and product candidates in the field of immuno-oncology. Results from these studies and trials have fueled increasing levels of interest in the field of immuno-oncology.</w:t>
      </w:r>
    </w:p>
    <w:p>
      <w:pPr>
        <w:spacing w:after="0" w:line="6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Large pharmaceutical companies that have commercialized or are developing immunotherapies to treat cancer include AstraZeneca, Bristol Myers Squibb, Gilead Sciences, Merck, Novartis, Pfizer, Regeneron and Roche/Genentech. In addition, we may compete with other immuno-oncology companies in our industry, such as Hummingbird Bioscience, Kineta, PharmAbcine Pierre Fabre and Curis, each of which are developing antibodies targeting VISTA, the target of our lead product candidate solnerstotug.</w:t>
      </w:r>
    </w:p>
    <w:p>
      <w:pPr>
        <w:spacing w:after="0" w:line="7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Our competitors with development-stage programs may obtain marketing approval from the FDA or other comparable regulatory authorities for their product candidates more rapidly than we do, and they could establish a strong market position before we are able to enter the market. In addition, our competitors may succeed in developing, acquiring or licensing technologies and products that are more effective, more effectively marketed and sold or less costly than any product candidates that we may develop, which could render our product candidates non-competitive and obsolete.</w:t>
      </w:r>
    </w:p>
    <w:p>
      <w:pPr>
        <w:spacing w:after="0" w:line="72"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Many of our competitors, either alone or with their strategic collaborators, have substantially greater financial, technical and human resources than we do. Accordingly, our competitors may be more successful than we are in obtaining approval for treatments and achieving widespread market acceptance, which may render our treatments obsolete or non-competitive. Mergers and acquisitions in the biotechnology and pharmaceutical industries may result in even more resources being concentrated among a smaller number of our competitors. These competitors also compete with us in recruiting and retaining qualified scientific and management personnel and establishing clinical trial sites and patient registration for clinical studies, as well as in acquiring technologies complementary to, or necessary for, our programs. Smaller or early-stage companies may also prove to be significant competitors, particularly through collaborative arrangements with large and established companies.</w:t>
      </w:r>
    </w:p>
    <w:p>
      <w:pPr>
        <w:spacing w:after="0" w:line="8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side effects, are more convenient or are less expensive or better reimbursed than any products that we may commercialize. Our competitors also may obtain FDA or other regulatory approval for their products more rapidly than we may obtain approval for ours, which could result in our competitors establishing a strong market position for either the product or a specific indication before we are able to enter the market.</w:t>
      </w:r>
    </w:p>
    <w:p>
      <w:pPr>
        <w:spacing w:after="0" w:line="68" w:lineRule="exact"/>
        <w:rPr>
          <w:sz w:val="20"/>
          <w:szCs w:val="20"/>
          <w:color w:val="auto"/>
        </w:rPr>
      </w:pPr>
    </w:p>
    <w:p>
      <w:pPr>
        <w:ind w:left="26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any of our product candidates receives marketing approval, it may fail to achieve the degree of market acceptance by physicians, patients, third-party payors and others in the medical community necessary for commercial success.</w:t>
      </w:r>
    </w:p>
    <w:p>
      <w:pPr>
        <w:spacing w:after="0" w:line="5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Even if we obtain approvals from the FDA or other comparable regulatory agencies and are able to initiate commercialization of our product candidates or any other product candidates we develop, the product candidate may not achieve market acceptance among physicians, patients, hospitals, including pharmacy directors, and third-party payors and, ultimately, may not be commercially successful. The degree of market acceptance of our product candidates, if approved for commercial sale, will depend on a number of factors, including:</w:t>
      </w:r>
    </w:p>
    <w:p>
      <w:pPr>
        <w:spacing w:after="0" w:line="72" w:lineRule="exact"/>
        <w:rPr>
          <w:sz w:val="20"/>
          <w:szCs w:val="20"/>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our product candidates are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physicians, hospitals, cancer treatment centers, and patients considering our product candidates as a safe and effective treatment;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our product candidates over alternative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of the FDA or other regulatory authorities;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labeling approved by the FDA;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our product candidates as well as competitive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upfront costs or training required for physicians to administer our product candidates;</w:t>
      </w:r>
    </w:p>
    <w:p>
      <w:pPr>
        <w:spacing w:after="0" w:line="11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adequate reimbursement from, and our ability to negotiate pricing with, third-party payors and government authorities;</w:t>
      </w:r>
    </w:p>
    <w:p>
      <w:pPr>
        <w:spacing w:after="0" w:line="53"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out-of-pocket in the absence of comprehensive coverage and reimbursement by third-party payors and government authorities;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50" w:name="page51"/>
    <w:bookmarkEnd w:id="50"/>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 including as compared to alternative treatments and competitive therapies;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efforts and distribution support.</w:t>
      </w:r>
    </w:p>
    <w:p>
      <w:pPr>
        <w:spacing w:after="0" w:line="117"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Our efforts to educate physicians, patients, third-party payors and others in the medical community on the benefits of our product candidates, if approved, may require significant resources and may never be successful. Such efforts may require more resources than are typically required due to the complexity and uniqueness of our product candidates. Because we expect sales of our product candidates, if approved, to generate substantially all of our product revenue for the foreseeable future, the failure of our product candidates to find market acceptance could harm our business and could require us to seek additional financing.</w:t>
      </w:r>
    </w:p>
    <w:p>
      <w:pPr>
        <w:spacing w:after="0" w:line="75"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addition, although we are not utilizing embryonic stem cells or replication competent vectors, adverse publicity due to the ethical and social controversies surrounding the therapeutic use of such technologies, and reported side effects from any clinical trials using these technologies or the failure of such trials to demonstrate that these therapies are safe and effective, may limit market acceptance our product candidates. If our product candidates are approved but fail to achieve market acceptance among physicians, patients, hospitals, cancer treatment centers or others in the medical community, we will not be able to generate significant revenue.</w:t>
      </w:r>
    </w:p>
    <w:p>
      <w:pPr>
        <w:spacing w:after="0" w:line="75" w:lineRule="exact"/>
        <w:rPr>
          <w:sz w:val="20"/>
          <w:szCs w:val="20"/>
          <w:color w:val="auto"/>
        </w:rPr>
      </w:pPr>
    </w:p>
    <w:p>
      <w:pPr>
        <w:ind w:right="320" w:firstLine="509"/>
        <w:spacing w:after="0" w:line="312" w:lineRule="auto"/>
        <w:rPr>
          <w:sz w:val="20"/>
          <w:szCs w:val="20"/>
          <w:color w:val="auto"/>
        </w:rPr>
      </w:pPr>
      <w:r>
        <w:rPr>
          <w:rFonts w:ascii="Times New Roman" w:cs="Times New Roman" w:eastAsia="Times New Roman" w:hAnsi="Times New Roman"/>
          <w:sz w:val="17"/>
          <w:szCs w:val="17"/>
          <w:color w:val="auto"/>
        </w:rPr>
        <w:t>Even if our product candidates, if approved, achieve market acceptance, we may not be able to maintain that market acceptance over time if new products or technologies are introduced that are more favorably received than our products, are more cost effective or render our products obsolete.</w:t>
      </w:r>
    </w:p>
    <w:p>
      <w:pPr>
        <w:spacing w:after="0" w:line="28" w:lineRule="exact"/>
        <w:rPr>
          <w:sz w:val="20"/>
          <w:szCs w:val="20"/>
          <w:color w:val="auto"/>
        </w:rPr>
      </w:pPr>
    </w:p>
    <w:p>
      <w:pPr>
        <w:ind w:left="26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Coverage and adequate reimbursement may not be available for our current or any future product candidates, which could make it difficult for us to sell profitably, if approved.</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Market acceptance and sales of any product candidates, if approved, that we commercialize will depend in part on the extent to which reimbursement for these products and related treatments will be available from third-party payors, including government health administration authorities, managed care organizations and private health insurers. Third-party payors decide which therapies they will pay for and establish reimbursement levels. In the United States, the principal decisions about reimbursement for new medicines are typically made by CMS, an agency within HHS. CMS decides whether and to what extent a new medicine will be covered and reimbursed under Medicare and private payors tend to follow CMS to a substantial degree. However, decisions regarding the extent of coverage and amount of reimbursement to be provided for any product candidates that we develop will be made on a payor-by-payor basis. Further, no uniform policy for coverage and reimbursement exists in the United States, and coverage and reimbursement can differ significantly from payor to payor. As a result, one payor’s determination to provide coverage for a drug does not assure that other payors will also provide coverage and adequate reimbursement for the drug. Additionally, a third-party payor’s decision to provide coverage for a therapy does not imply that an adequate reimbursement rate to allow us to establish or maintain pricing sufficient to realize a sufficient return on our investment will be approved. Third-party payors are increasingly challenging the price, examining the medical necessity and reviewing the cost-effectiveness of medical products, therapies and services, in addition to questioning their safety and efficacy. We may incur significant costs to conduct expensive pharmaco-economic studies in order to demonstrate the medical necessity and cost-effectiveness of our product candidates, in addition to the costs required to obtain FDA approvals. Our product candidates may not be considered medically necessary or cost-effective.</w:t>
      </w:r>
    </w:p>
    <w:p>
      <w:pPr>
        <w:spacing w:after="0" w:line="8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Each payor determines whether or not it will provide coverage for a therapy, what amount it will pay the manufacturer for the therapy, and on what tier of its list of covered drugs, or formulary, it will be placed. The position on a payor’s formulary, generally determines the co-payment that a patient will need to make to obtain the therapy and can strongly influence the adoption of such therapy by patients and physicians. Patients who are prescribed treatments for their conditions and providers prescribing such services generally rely on third-party payors to reimburse all or part of the associated healthcare costs. Patients are unlikely to use our products, and providers are unlikely to prescribe our products, unless coverage is provided and reimbursement is adequate to cover a significant portion of the cost of our products and their administration. Therefore, coverage and adequate reimbursement is critical to new medical product acceptance.</w:t>
      </w:r>
    </w:p>
    <w:p>
      <w:pPr>
        <w:spacing w:after="0" w:line="8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In addition,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 Additionally, if any companion diagnostic provider is unable to obtain reimbursement or is inadequately reimbursed, that may limit the availability of such companion diagnostic, which could negatively impact prescriptions for our product candidates, if approved.</w:t>
      </w:r>
    </w:p>
    <w:p>
      <w:pPr>
        <w:spacing w:after="0" w:line="75"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A primary trend in the U.S. healthcare industry and elsewhere is cost containment. Third-party payors have attempted to control costs by limiting coverage and the amount of reimbursement for particular medications. We cannot be sure that coverage and reimbursement will be available for any drug that we commercialize and, if reimbursement is available, what the level of reimbursement will be. Even if favorable coverage and reimbursement status is attained for one or more product candidates for which we receive regulatory approval, less favorable coverage policies and reimbursement rates may be implemented in the future. Inadequate coverage and reimbursement may impact the demand for, or the price of, any drug for which we obtain marketing approval. If coverage and adequate reimbursement are not available, or are available only to limited levels, we may not be able to</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1" w:name="page52"/>
    <w:bookmarkEnd w:id="51"/>
    <w:p>
      <w:pPr>
        <w:ind w:right="40"/>
        <w:spacing w:after="0" w:line="256" w:lineRule="auto"/>
        <w:rPr>
          <w:sz w:val="20"/>
          <w:szCs w:val="20"/>
          <w:color w:val="auto"/>
        </w:rPr>
      </w:pPr>
      <w:r>
        <w:rPr>
          <w:rFonts w:ascii="Times New Roman" w:cs="Times New Roman" w:eastAsia="Times New Roman" w:hAnsi="Times New Roman"/>
          <w:sz w:val="18"/>
          <w:szCs w:val="18"/>
          <w:color w:val="auto"/>
        </w:rPr>
        <w:t>successfully commercialize our current and any future product candidates that we develop. In many countries, the prices of medical products are subject to varying price control mechanisms as part of national health systems.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products may be reduced compared with the United States and may be insufficient to generate commercially reasonable revenues and profits.</w:t>
      </w:r>
    </w:p>
    <w:p>
      <w:pPr>
        <w:spacing w:after="0" w:line="79"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We cannot be sure that coverage and reimbursement in the United States or elsewhere will be available for any product that we may develop, and any reimbursement that may become available may be decreased or eliminated in the future.</w:t>
      </w:r>
    </w:p>
    <w:p>
      <w:pPr>
        <w:spacing w:after="0" w:line="50" w:lineRule="exact"/>
        <w:rPr>
          <w:sz w:val="20"/>
          <w:szCs w:val="20"/>
          <w:color w:val="auto"/>
        </w:rPr>
      </w:pPr>
    </w:p>
    <w:p>
      <w:pPr>
        <w:ind w:left="260"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to limit commercialization of any products that we may develop.</w:t>
      </w:r>
    </w:p>
    <w:p>
      <w:pPr>
        <w:spacing w:after="0" w:line="51"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product candidates in human clinical trials and will face an even greater risk if we commercially sell any products that we may develop. If we cannot successfully defend ourselves against claims that our product candidates or products caused injuries, we will incur substantial liabilities. Regardless of merit or eventual outcome, liability claims may result in:</w:t>
      </w:r>
    </w:p>
    <w:p>
      <w:pPr>
        <w:spacing w:after="0" w:line="68"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resources of our management to pursue our business strategy;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candidates or products that we may develop;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resulting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paid to clinical trial participants or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that we may develop.</w:t>
      </w:r>
    </w:p>
    <w:p>
      <w:pPr>
        <w:spacing w:after="0" w:line="11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currently do not have product liability in place as the cost of coverage exceeds the covered amount during clinical trials. Once we are ready for a product launch, we intend to bind a policy with product liability insurance coverage in the aggregate and a per incident limit at an amount adequate to cover estimated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w:t>
      </w:r>
    </w:p>
    <w:p>
      <w:pPr>
        <w:spacing w:after="0" w:line="71" w:lineRule="exact"/>
        <w:rPr>
          <w:sz w:val="20"/>
          <w:szCs w:val="20"/>
          <w:color w:val="auto"/>
        </w:rPr>
      </w:pPr>
    </w:p>
    <w:p>
      <w:pPr>
        <w:ind w:left="260"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6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72"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product candidates to be reviewed and/or approved by necessary government agencies, which could adversely affect our business. For example, over the last several years, the U.S. government has shut down several times, and certain regulatory agencies, such as the FDA and the SEC, have had to furlough critical employees and stop critical activities. If a prolonged government shutdown occurs, or if global health concerns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2" w:name="page53"/>
    <w:bookmarkEnd w:id="52"/>
    <w:p>
      <w:pPr>
        <w:ind w:left="260"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protection for our technologies and product candidates, including solnerstotug, or if the scope of the patent protection obtained is not sufficiently broad, our competitors could develop and commercialize technology and biologics similar or identical to ours, and our ability to successfully commercialize our technology and product candidates may be impaired.</w:t>
      </w:r>
    </w:p>
    <w:p>
      <w:pPr>
        <w:spacing w:after="0" w:line="67"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Our success depends, in large part, on our ability to obtain and maintain patent protection in the United States, Canada, China, the European Union and other countries with respect to our product candidates. We seek to protect our proprietary position by filing patent applications related to our technology and product candidates in the major pharmaceutical markets, including the United States, Canada, China, major countries in Europe and Japan. If we do not adequately protect our intellectual property, competitors may be able to use our technologies and erode or negate any competitive advantage that we may have, which could harm our business and ability to achieve profitability.</w:t>
      </w:r>
    </w:p>
    <w:p>
      <w:pPr>
        <w:spacing w:after="0" w:line="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To protect our proprietary positions, we typically file patent applications in the United States and other countries related to our novel technologies and product candidates that are important to our business. The patent application and prosecution process is expensive and time-consuming. We may not be able to file and prosecute all necessary or desirable patent applications at a reasonable cost or in a timely manner. We may also fail to identify patentable aspects of our research and development before it is too late to obtain patent protection. It is possible that defects of form in the preparation or filing of our patents or patent applications may exist, or may arise in the future, such as with respect to proper priority claims, inventorship, claim scope or patent term adjustments. If any current or future licensors or licensees are not fully cooperative or disagree with us as to the prosecution, maintenance or enforcement of any patent rights, such patent rights could be compromised and we might not be able to prevent third parties from making, using and selling competing products. If there are material defects in the form or preparation of our patents or patent applications, such patents or applications may be invalid and unenforceable. Moreover, our competitors may independently develop equivalent knowledge, methods and know-how. Any of these outcomes could impair our ability to prevent competition from third parties.</w:t>
      </w:r>
    </w:p>
    <w:p>
      <w:pPr>
        <w:spacing w:after="0" w:line="86"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It is also possible that we will fail to identify patentable aspects of our research and development output before it is too late to obtain patent protection. The patent applications that we own may fail to result in issued patents with claims that cover our current and future product candidates in the United States or in other foreign countries. Our patent applications cannot be enforced against third parties practicing the technology claimed in such applications unless, and until, a patent issues from such applications, and then only to the extent the issued claims cover the technology.</w:t>
      </w:r>
    </w:p>
    <w:p>
      <w:pPr>
        <w:spacing w:after="0" w:line="72" w:lineRule="exact"/>
        <w:rPr>
          <w:sz w:val="20"/>
          <w:szCs w:val="20"/>
          <w:color w:val="auto"/>
        </w:rPr>
      </w:pPr>
    </w:p>
    <w:p>
      <w:pPr>
        <w:jc w:val="both"/>
        <w:ind w:right="480" w:firstLine="509"/>
        <w:spacing w:after="0" w:line="266" w:lineRule="auto"/>
        <w:rPr>
          <w:sz w:val="20"/>
          <w:szCs w:val="20"/>
          <w:color w:val="auto"/>
        </w:rPr>
      </w:pPr>
      <w:r>
        <w:rPr>
          <w:rFonts w:ascii="Times New Roman" w:cs="Times New Roman" w:eastAsia="Times New Roman" w:hAnsi="Times New Roman"/>
          <w:sz w:val="18"/>
          <w:szCs w:val="18"/>
          <w:color w:val="auto"/>
        </w:rPr>
        <w:t>If the patent applications we hold with respect to our development programs and product candidates fail to issue, if their breadth or strength of protection is threatened, or if they fail to provide meaningful exclusivity for our current and future product candidates, it could threaten our ability to commercialize our product candidates. Any such outcome could have a negative effect on our business.</w:t>
      </w:r>
    </w:p>
    <w:p>
      <w:pPr>
        <w:spacing w:after="0" w:line="68"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Changes in either the patent laws or interpretation of the patent laws in the United States and other countries may diminish the value of our patents or narrow the scope of our patent protection. In addition, the protections offered by laws of different countries vary. No consistent policy regarding the breadth of claims allowed in biotechnology and pharmaceutical patents has emerged to date in the United States or in many foreign jurisdictions. In addition, the determination of patent rights with respect to pharmaceutical compounds and technologies commonly involves complex legal and factual questions, which has in recent years been the subject of much litigation. As a result, the issuance, scope, validity, enforceability and commercial value of our patent rights are highly uncertain. Furthermore, recent changes in patent laws in the United States, may affect the scope, strength and enforceability of our patent rights or the nature of proceedings that may be brought by or against us related to our patent rights. Additionally,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and the U.S. Patent and Trademark Office, or USPTO, the laws and regulations governing patents could change in unpredictable ways that could weaken our ability to obtain patents or to enforce any patents that we might obtain in the future.</w:t>
      </w:r>
    </w:p>
    <w:p>
      <w:pPr>
        <w:spacing w:after="0" w:line="7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 xml:space="preserve">We may not be aware of all third-party intellectual property rights potentially relating to our current and future our product candidates.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patents or pending patent applications, or that we were the first to file for patent protection of such inventions. Similarly, should we own any patents or patent applications in the future, we may not be certain that we were the first to file for patent protection for the inventions claimed in such patents or patent applications. As a result, the issuance, scope, validity and commercial value of our patent rights cannot be predicted with any certainty. Moreover, we may be subject to a third-party pre-issuance submission of prior art to the USPTO or become involved in opposition, derivation,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interference proceedings, in the United States or elsewhere, challenging our patent rights or the patent rights of others. An adverse determination in any such submission, proceeding or litigation could reduce the scope of, or invalidate, our patent rights, allow third parties to commercialize our technology or product candidates and compete directly with us,</w:t>
      </w: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3" w:name="page54"/>
    <w:bookmarkEnd w:id="53"/>
    <w:p>
      <w:pPr>
        <w:ind w:right="640"/>
        <w:spacing w:after="0" w:line="282" w:lineRule="auto"/>
        <w:rPr>
          <w:sz w:val="20"/>
          <w:szCs w:val="20"/>
          <w:color w:val="auto"/>
        </w:rPr>
      </w:pPr>
      <w:r>
        <w:rPr>
          <w:rFonts w:ascii="Times New Roman" w:cs="Times New Roman" w:eastAsia="Times New Roman" w:hAnsi="Times New Roman"/>
          <w:sz w:val="18"/>
          <w:szCs w:val="18"/>
          <w:color w:val="auto"/>
        </w:rPr>
        <w:t>without payment to us, or result in our inability to manufacture or commercialize products without infringing third-party patent rights, which could significantly harm our business and results of operations.</w:t>
      </w:r>
    </w:p>
    <w:p>
      <w:pPr>
        <w:spacing w:after="0" w:line="5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pending and future patent applications may not result in patents being issued that protect our technology or product candidates, in whole or in part, or which effectively prevent others from commercializing competitive technologies and products. Even if our patent applications issue as patents, they may not issue in a form that will provide us with any meaningful protection against competing products or processes sufficient to achieve our business objectives, prevent competitors from competing with us or otherwise provide us with any competitive advantage. Our competitors may be able to circumvent our owned or licensed patents, should they issue, by developing similar or alternative technologies or products in a non-infringing manner. Our competitors may seek approval to market their own products similar to or otherwise competitive with our products. In these circumstances, we may need to defend and/or assert our patents, including by filing lawsuits alleging patent infringement. In any of these types of proceedings, a court or other agency with jurisdiction may find our patents invalid and/or unenforceable.</w:t>
      </w:r>
    </w:p>
    <w:p>
      <w:pPr>
        <w:spacing w:after="0" w:line="84"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our owned and licensed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In addition, given the amount of time required for the development, testing and regulatory review of new product candidates, patents protecting such candidates might expire before or shortly after such candidates are commercialized.</w:t>
      </w:r>
    </w:p>
    <w:p>
      <w:pPr>
        <w:spacing w:after="0" w:line="75" w:lineRule="exact"/>
        <w:rPr>
          <w:sz w:val="20"/>
          <w:szCs w:val="20"/>
          <w:color w:val="auto"/>
        </w:rPr>
      </w:pPr>
    </w:p>
    <w:p>
      <w:pPr>
        <w:ind w:left="260"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their intellectual property rights, the outcome of which would be uncertain and could significantly harm our business.</w:t>
      </w:r>
    </w:p>
    <w:p>
      <w:pPr>
        <w:spacing w:after="0" w:line="5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Our commercial success depends, in part, on our ability to develop, manufacture, market and sell our product candidates and use our TMAb technology without infringing the intellectual property and other proprietary rights of third parties. Numerous third-party U.S. and non-U.S. issued patents exist in the area of biotechnology, including in the area of monoclonal antibodies and including patents held by our competitors. If any third-party patents cover our product candidates or technologies, we may not be free to manufacture or commercialize our product candidates as planned.</w:t>
      </w:r>
    </w:p>
    <w:p>
      <w:pPr>
        <w:spacing w:after="0" w:line="7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There is a substantial amount of intellectual property litigation in the biotechnology and pharmaceutical industries, and we may become party to, or threatened with, litigation or other adversarial proceedings regarding intellectual property rights with respect to our technology or product candidates, including interference proceedings before the USPTO. Intellectual property disputes arise in a number of areas including with respect to patents, use of other proprietary rights and the contractual terms of license arrangements. Third parties may assert claims against us based on existing or future intellectual property rights and claims may also come from competitors against whom our own patent portfolio may have no deterrent effect. The outcome of intellectual property litigation is subject to uncertainties that cannot be adequately quantified in advance. Other parties may allege that our product candidates or the use of our technologies infringes patent claims or other intellectual property rights held by them or that we are employing their proprietary technology without authorization. As we continue to develop and, if approved, commercialize our current and future product candidates, competitors may claim that our technology infringes their intellectual property rights as part of business strategies designed to impede our successful commercialization. There are and may in the future be additional third-party patents or patent applications with claims to, for example, materials, compositions, formulations, methods of manufacture or methods for treatment related to the use or manufacture of any one or more of our product candidates. Moreover, we may fail to identify relevant third party patents or patent applications, or we may incorrectly conclude that the claims of an issued patent are invalid or are not infringed by our activities. Because patent applications can take many years to issue, third parties may have currently pending patent applications which may later result in issued patents that any of our product candidates may infringe, or which such third parties claim are infringed by our technologies.</w:t>
      </w:r>
    </w:p>
    <w:p>
      <w:pPr>
        <w:spacing w:after="0" w:line="8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If we are found to infringe a third party’s intellectual property rights, we could be forced, including by court order, to cease developing, manufacturing or commercializing the infringing product candidate or product. Alternatively, we may be required or may choose to obtain a license from such third party in order to use the infringing technology and continue developing, manufacturing or marketing the infringing product candidate. However, we may not be able to obtain any required license on commercially reasonable terms or at all. Even if we were able to obtain a license, it could be non-exclusive, thereby giving our competitors access to the same technologies licensed to us.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Claims that we have misappropriated the confidential information or trade secrets of third parties could have a similar negative effect on our business. Even if successful, the defense of any claim of infringement or misappropriation is time-consuming, expensive and diverts the attention of our management from our ongoing business operations.</w:t>
      </w:r>
    </w:p>
    <w:p>
      <w:pPr>
        <w:spacing w:after="0" w:line="76" w:lineRule="exact"/>
        <w:rPr>
          <w:sz w:val="20"/>
          <w:szCs w:val="20"/>
          <w:color w:val="auto"/>
        </w:rPr>
      </w:pPr>
    </w:p>
    <w:p>
      <w:pPr>
        <w:ind w:left="26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license intellectual property from third parties, and such licenses may not be available or may not be available on commercially reasonable terms.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4" w:name="page55"/>
    <w:bookmarkEnd w:id="54"/>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A third party may hold intellectual property rights, including patent rights, that are important or necessary to the development or manufacture of our product candidates. It may be necessary for us to use the patented or proprietary technology of third parties to commercialize our product candidates, in which case we would be required to obtain a license from these third parties. Such a license may not be available on commercially reasonable terms, or at all, and we could be forced to accept unfavorable contractual terms. If we are unable to obtain such licenses on commercially reasonable terms, our business could be harmed.</w:t>
      </w:r>
    </w:p>
    <w:p>
      <w:pPr>
        <w:spacing w:after="0" w:line="75"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larger size and cash resources or greater clinical development and commercialization capabilities. We may not be able to successfully complete such negotiations and ultimately acquire the rights to the intellectual property surrounding the additional product candidates that we may seek to acquire.</w:t>
      </w:r>
    </w:p>
    <w:p>
      <w:pPr>
        <w:spacing w:after="0" w:line="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intellectual property, which could be expensive, time-consuming and unsuccessful.</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Competitors may infringe our patents, if issued, trademarks, copyrights or other intellectual property. To counter infringement or unauthorized use, we may be required to file infringement claims, which can be expensive and time-consuming and divert the time and attention of our management and scientific personnel. Any claims we assert against perceived infringers could provoke these parties to assert counterclaims against us alleging that we infringe their patents, trademarks, copyrights or other intellectual property. In addition, in a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patents do not cover the invention. An adverse outcome in a litigation or proceeding involving our patents could limit our ability to assert our patents against those parties or other competitors, and may curtail or preclude our ability to exclude third parties from making and selling similar or competitive products.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84"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any infringement litigation, any award of monetary damages we receive may not be commercially valuable. Furthermore, because of the substantial amount of discovery required in connection with intellectual property litigation, there is a risk that some of our confidential information could be compromised by disclosure during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Moreover, there can be no assurance that we will have sufficient financial or other resources to file and pursue such infringement claims, which typically last for years before they are concluded. Some of our competitors may be able to sustain the costs of such litigation or proceedings more effectively than we can because of their greater financial resources and more mature and developed intellectual property portfolios. Even if we ultimately prevail in such claims, the monetary cost of such litigation and the diversion of the attention of our management and scientific personnel could outweigh any benefit we receive as a result of the proceedings. Accordingly, despite our efforts, we may not be able to prevent third parties from infringing, misappropriating or successfully challenging our intellectual property rights. Uncertainties resulting from the initiation and continuation of patent litigation or other proceedings could have a negative impact on our ability to compete in the marketplace.</w:t>
      </w:r>
    </w:p>
    <w:p>
      <w:pPr>
        <w:spacing w:after="0" w:line="80" w:lineRule="exact"/>
        <w:rPr>
          <w:sz w:val="20"/>
          <w:szCs w:val="20"/>
          <w:color w:val="auto"/>
        </w:rPr>
      </w:pPr>
    </w:p>
    <w:p>
      <w:pPr>
        <w:ind w:left="260"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we or our employees have misappropriated their intellectual property, or claiming ownership of what we regard as our own intellectual property.</w:t>
      </w:r>
    </w:p>
    <w:p>
      <w:pPr>
        <w:spacing w:after="0" w:line="51"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Many of our employees were previously employed at universities or other biotechnology or pharmaceutical companies. Although we try to ensure that our employees do not use the proprietary information or know-how of third parties in their work for us, we may be subject to claims that these employees or we have inadvertently or otherwise used intellectual property, including trade secrets or other proprietary information, of any such employee’s former employer. We may also in the future be subject to claims that we have caused an employee to breach the terms of his or her non-competition or non-solicitation agreement. Litigation may be necessary to defend against these potential claims.</w:t>
      </w:r>
    </w:p>
    <w:p>
      <w:pPr>
        <w:spacing w:after="0" w:line="75" w:lineRule="exact"/>
        <w:rPr>
          <w:sz w:val="20"/>
          <w:szCs w:val="20"/>
          <w:color w:val="auto"/>
        </w:rPr>
      </w:pPr>
    </w:p>
    <w:p>
      <w:pPr>
        <w:ind w:right="460" w:firstLine="509"/>
        <w:spacing w:after="0" w:line="266"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development of intellectual property to execute agreements assigning such intellectual property to us, such employees and contractors may breach the agreement and claim the developed intellectual property as their own.</w:t>
      </w:r>
    </w:p>
    <w:p>
      <w:pPr>
        <w:spacing w:after="0" w:line="68"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If we fail in prosecuting or defending any such claims, in addition to paying monetary damages, we may lose valuable intellectual property rights or personnel. A court could prohibit us from using technologies or features that are essential to our products if such technologies or features are found to incorporate or be derived from the trade secrets or other proprietary information of the former employers. Even if we are successful in prosecuting or defending against such claims, litigation could result in substantial costs and could be a distraction to management. In addition, any litigation or threat thereof may adversely affect our ability</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5" w:name="page56"/>
    <w:bookmarkEnd w:id="55"/>
    <w:p>
      <w:pPr>
        <w:ind w:right="340"/>
        <w:spacing w:after="0" w:line="282" w:lineRule="auto"/>
        <w:rPr>
          <w:sz w:val="20"/>
          <w:szCs w:val="20"/>
          <w:color w:val="auto"/>
        </w:rPr>
      </w:pPr>
      <w:r>
        <w:rPr>
          <w:rFonts w:ascii="Times New Roman" w:cs="Times New Roman" w:eastAsia="Times New Roman" w:hAnsi="Times New Roman"/>
          <w:sz w:val="18"/>
          <w:szCs w:val="18"/>
          <w:color w:val="auto"/>
        </w:rPr>
        <w:t>to hire employees or contract with independent service providers. Moreover, a loss of key personnel or their work product could hamper or prevent our ability to commercialize our products.</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owned patent rights and other intellectual property.</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generally enter into confidentiality and intellectual property assignment agreements with our employees, consultants, outside scientific collaborators, sponsored researchers and other advisors. However, these agreements may not be honored and may not effectively assign intellectual property rights to us. For example, disputes may arise from conflicting obligations of consultants or others who are involved in developing our technology and product candidates.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Any trademarks we may obtain may be infringed or successfully challenged, resulting in harm to our business.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expect to rely on trademarks as one means to distinguish any of our product candidates that are approved for marketing from the products of our competitors. We have not yet selected trademarks for our product candidates and have not yet begun the process of applying to register trademarks for our product candidates. Once we select trademarks and apply to register them, our trademark applications may not be approved. Third parties may oppose our trademark applications, or otherwise challenge our use of the trademarks. In the event that our trademarks are successfully challenged, we could be forced to rebrand our products, which could result in loss of brand recognition and could require us to devote resources to advertising and marketing new brands. Our competitors may infringe our trademarks and we may not have adequate resources to enforce our trademarks.</w:t>
      </w:r>
    </w:p>
    <w:p>
      <w:pPr>
        <w:spacing w:after="0" w:line="79"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In addition, any proprietary name we propose to use with our product candidates or any other product candidate in the United States must be approved by the FDA, regardless of whether we have registered it, or applied to register it, as a trademark. The FDA typically conducts a review of proposed product names, including an evaluation of the potential for confusion with other product names. If the FDA objects to any of our proposed proprietary product names, we may be required to expend significant additional resources in an effort to identify a suitable proprietary product name that would qualify under applicable trademark laws, not infringe the existing rights of third parties and be acceptable to the FDA.</w:t>
      </w:r>
    </w:p>
    <w:p>
      <w:pPr>
        <w:spacing w:after="0" w:line="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addition to seeking patent and trademark protection for our product candidates, we also rely on trade secrets, including unpatented know-how, technology and other proprietary information, to maintain our competitive position. We seek to protect our trade secrets, in part, by entering into non-disclosure and confidentiality agreements with parties who have access to them, such as our employees,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Monitoring unauthorized uses and disclosures of our intellectual property is difficult, and we do not know whether the steps we have taken to protect our intellectual property will be effective. In addition, we may not be able to obtain adequate remedies for any such breaches. Enforcing a claim that a party illegally disclosed or misappropriated a trade secret is difficult, expensive and time-consuming, and the outcome is unpredictable. Furthermore, some courts inside and outside the United States are less willing or unwilling to protect trade secrets.</w:t>
      </w:r>
    </w:p>
    <w:p>
      <w:pPr>
        <w:spacing w:after="0" w:line="8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Moreover, our competitors may independently develop knowledge, methods and know-how equivalent to our trade secrets. Competitors could purchase our products and replicate some or all of the competitive advantages we derive from our development efforts for technologies on which we do not have patent protection.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21" w:lineRule="exact"/>
        <w:rPr>
          <w:sz w:val="20"/>
          <w:szCs w:val="20"/>
          <w:color w:val="auto"/>
        </w:rPr>
      </w:pPr>
    </w:p>
    <w:p>
      <w:pPr>
        <w:ind w:right="160" w:firstLine="509"/>
        <w:spacing w:after="0" w:line="274" w:lineRule="auto"/>
        <w:rPr>
          <w:sz w:val="20"/>
          <w:szCs w:val="20"/>
          <w:color w:val="auto"/>
        </w:rPr>
      </w:pPr>
      <w:r>
        <w:rPr>
          <w:rFonts w:ascii="Times New Roman" w:cs="Times New Roman" w:eastAsia="Times New Roman" w:hAnsi="Times New Roman"/>
          <w:sz w:val="17"/>
          <w:szCs w:val="17"/>
          <w:color w:val="auto"/>
        </w:rPr>
        <w:t>Filing, prosecuting and defending patents on product candidates in all countries throughout the world would be prohibitively expensive, and our intellectual property rights in some countries outside the United States could be less extensive than those in the United States. In some cases, we may not be able to obtain patent protection for certain technology outside the United States. In addition, the laws of some foreign countries do not protect intellectual property rights to the same extent as federal and state laws in the United States, even in jurisdictions where we do pursue patent protection. Consequently, we may not be able to prevent third parties from practicing our inventions in all countries outside the United States, even in jurisdictions where we do pursue patent protection or from selling or importing products made using our inventions in and into the United States or other jurisdictions.</w:t>
      </w:r>
    </w:p>
    <w:p>
      <w:pPr>
        <w:spacing w:after="0" w:line="65"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Competitors may use our technologies in jurisdictions where we have not pursued and obtained patent protection to develop their own products and, further, may export otherwise infringing products to territories where we have patent protection, but</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6" w:name="page57"/>
    <w:bookmarkEnd w:id="56"/>
    <w:p>
      <w:pPr>
        <w:spacing w:after="0" w:line="282" w:lineRule="auto"/>
        <w:rPr>
          <w:sz w:val="20"/>
          <w:szCs w:val="20"/>
          <w:color w:val="auto"/>
        </w:rPr>
      </w:pPr>
      <w:r>
        <w:rPr>
          <w:rFonts w:ascii="Times New Roman" w:cs="Times New Roman" w:eastAsia="Times New Roman" w:hAnsi="Times New Roman"/>
          <w:sz w:val="18"/>
          <w:szCs w:val="18"/>
          <w:color w:val="auto"/>
        </w:rPr>
        <w:t>enforcement is not as strong as that in the United States. These products may compete with our product candidates and preclinical programs and our patents or other intellectual property rights may not be effective or sufficient to prevent them from competing.</w:t>
      </w:r>
    </w:p>
    <w:p>
      <w:pPr>
        <w:spacing w:after="0" w:line="5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if pursued and obtained,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76" w:lineRule="exact"/>
        <w:rPr>
          <w:sz w:val="20"/>
          <w:szCs w:val="20"/>
          <w:color w:val="auto"/>
        </w:rPr>
      </w:pPr>
    </w:p>
    <w:p>
      <w:pPr>
        <w:jc w:val="both"/>
        <w:ind w:left="260"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Periodic maintenance and annuity fees on any issued patent are due to be paid to the USPTO and patent agencies outside the United States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fail to maintain the patents and patent applications covering our products or product candidates, our competitors might be able to enter the market, which would harm our business. In addition, to the extent that we have responsibility for taking any action related to the prosecution or maintenance of patents or patent application in-licensed from a third party, any failure on our part to maintain the in-licensed rights could jeopardize our rights under the relevant license and may expose us to liability.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will need to grow the size of our organization, and we may experience difficulties in managing this growth.</w:t>
      </w:r>
    </w:p>
    <w:p>
      <w:pPr>
        <w:spacing w:after="0" w:line="121"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As our development and commercialization plans and strategies develop, and as we continue operating as a public company, we expect to need additional managerial, operational, financial and other personnel, including personnel to support our product development and planned future commercialization efforts. Future growth will impose significant added responsibilities on members of management, including:</w:t>
      </w:r>
    </w:p>
    <w:p>
      <w:pPr>
        <w:spacing w:after="0" w:line="68" w:lineRule="exact"/>
        <w:rPr>
          <w:sz w:val="20"/>
          <w:szCs w:val="20"/>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recruiting, integrating, maintaining and motivating additional employees;</w:t>
      </w:r>
    </w:p>
    <w:p>
      <w:pPr>
        <w:spacing w:after="0" w:line="117"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internal development efforts effectively, including the preclinical, clinical and FDA review processes for our product candidates;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our operational, financial and management controls, reporting systems and procedures.</w:t>
      </w:r>
    </w:p>
    <w:p>
      <w:pPr>
        <w:spacing w:after="0" w:line="117"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There are a small number of individuals with experience in immuno-oncology and the competition for these individuals is high. Our future financial performance and our ability to commercialize our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72" w:lineRule="exact"/>
        <w:rPr>
          <w:sz w:val="20"/>
          <w:szCs w:val="20"/>
          <w:color w:val="auto"/>
        </w:rPr>
      </w:pPr>
    </w:p>
    <w:p>
      <w:pPr>
        <w:ind w:right="720" w:firstLine="509"/>
        <w:spacing w:after="0" w:line="266" w:lineRule="auto"/>
        <w:rPr>
          <w:sz w:val="20"/>
          <w:szCs w:val="20"/>
          <w:color w:val="auto"/>
        </w:rPr>
      </w:pPr>
      <w:r>
        <w:rPr>
          <w:rFonts w:ascii="Times New Roman" w:cs="Times New Roman" w:eastAsia="Times New Roman" w:hAnsi="Times New Roman"/>
          <w:sz w:val="18"/>
          <w:szCs w:val="18"/>
          <w:color w:val="auto"/>
        </w:rPr>
        <w:t>If we are not able to effectively expand our organization by hiring new employees, we may not be able to successfully implement the tasks necessary to further develop and commercialize our product candidates and, accordingly, may not achieve our research, development and commercialization goals.</w:t>
      </w:r>
    </w:p>
    <w:p>
      <w:pPr>
        <w:spacing w:after="0" w:line="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members of senior management and to attract, retain and motivate qualified personnel.</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Our ability to compete in the highly competitive biopharmaceutical industry depends upon our ability to attract and retain highly qualified management, research and development, clinical, financial and business development personnel. Our senior management may terminate their employment with us at any time, and we do not maintain “key person” insurance for any of our employees.</w:t>
      </w:r>
    </w:p>
    <w:p>
      <w:pPr>
        <w:spacing w:after="0" w:line="68"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Recruiting and retaining qualified scientific and clinical personnel and, if we progress the development of any of our product candidates, commercialization, manufacturing and sales and marketing personnel, will be critical to our success. The loss of the services of members of our senior management or other key employees could impede the achievement of our research, development</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7" w:name="page58"/>
    <w:bookmarkEnd w:id="57"/>
    <w:p>
      <w:pPr>
        <w:ind w:right="80"/>
        <w:spacing w:after="0" w:line="253" w:lineRule="auto"/>
        <w:rPr>
          <w:sz w:val="20"/>
          <w:szCs w:val="20"/>
          <w:color w:val="auto"/>
        </w:rPr>
      </w:pPr>
      <w:r>
        <w:rPr>
          <w:rFonts w:ascii="Times New Roman" w:cs="Times New Roman" w:eastAsia="Times New Roman" w:hAnsi="Times New Roman"/>
          <w:sz w:val="18"/>
          <w:szCs w:val="18"/>
          <w:color w:val="auto"/>
        </w:rPr>
        <w:t>and commercialization objectives and seriously harm our ability to successfully implement our business strategy. Furthermore, replacing members of our senior management and key employees may be difficult and may take an extended period of time because of the limited number of individuals in our industry with the breadth of skills and experience required to successfully develop, gain regulatory approval of and commercialize our product candidates. Our success also depends on our ability to continue to attract, retain and motivate highly skilled junior, mid-level and senior managers, as well as junior, mid-level and senior scientific and medical personnel. Competition to hire from this limited candidate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have commitments under consulting or advisory contracts with other entities that may limit their availability to us. If we are unable to continue to attract and retain high-quality personnel, our ability to pursue our growth strategy will be limited.</w:t>
      </w:r>
    </w:p>
    <w:p>
      <w:pPr>
        <w:spacing w:after="0" w:line="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Our workforce reduction may not achieve our intended outcomes.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November 2024, we implemented certain actions to decrease operating expenses, streamline operations and focus resources on advancing the clinical development of solnerstotug. As a result, we closed our research site in Rockville, Maryland, reduced our workforce by approximately 46%, with most headcount reductions affecting our preclinical research and development group, and paused further development of our preclinical product candidates, including SNS-102, SNS-103 and SNS-201. The reduction in force may result in unintended consequences and costs, such as the loss of institutional knowledge and expertise, attrition beyond the intended number of employees, decreased morale among our remaining employees, and the risk that we may not achieve the anticipated benefits of the reduction in force. Furthermore, we may undertake further similar cost-saving initiatives in the future, which may include additional restructuring or workforce reductions. These types of cost-reduction activities can be complex and result in unintended consequences and costs, which could adversely impact our business.</w:t>
      </w:r>
    </w:p>
    <w:p>
      <w:pPr>
        <w:spacing w:after="0" w:line="80" w:lineRule="exact"/>
        <w:rPr>
          <w:sz w:val="20"/>
          <w:szCs w:val="20"/>
          <w:color w:val="auto"/>
        </w:rPr>
      </w:pPr>
    </w:p>
    <w:p>
      <w:pPr>
        <w:ind w:left="26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engage in future acquisitions or strategic collaborations, this may increase our capital requirements, dilute our stockholders, cause us to incur debt or assume contingent liabilities and subject us to other risks.</w:t>
      </w:r>
    </w:p>
    <w:p>
      <w:pPr>
        <w:spacing w:after="0" w:line="51"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we may evaluate various acquisitions and strategic collaborations, including licensing or acquiring complementary products, intellectual property rights, technologies or businesses, as we may deem appropriate to carry out our business plan. Any potential acquisition or strategic collaboration may entail numerous risks, including:</w:t>
      </w:r>
    </w:p>
    <w:p>
      <w:pPr>
        <w:spacing w:after="0" w:line="68" w:lineRule="exact"/>
        <w:rPr>
          <w:sz w:val="20"/>
          <w:szCs w:val="20"/>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operating expenses and cash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additional indebtedness or contingent liabilities;</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assimilation of operations, intellectual property and products of an acquired company, including difficulties associated with integrating new personnel;</w:t>
      </w:r>
    </w:p>
    <w:p>
      <w:pPr>
        <w:spacing w:after="0" w:line="53"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our management’s attention from our existing programs and initiatives in pursuing such a strategic partnership, merger or acquisition;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 the loss of key personnel and uncertainties in our ability to maintain key business relationships;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associated with the other party to such a transaction, including the prospects of that party and their existing products or product candidates and regulatory approvals; and</w:t>
      </w:r>
    </w:p>
    <w:p>
      <w:pPr>
        <w:spacing w:after="0" w:line="53"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generate revenue from acquired technology sufficient to meet our objectives in undertaking the acquisition or even to offset the associated acquisition and maintenance costs.</w:t>
      </w:r>
    </w:p>
    <w:p>
      <w:pPr>
        <w:spacing w:after="0" w:line="54"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Additionally, if we undertake future acquisitions, we may issue dilutive securities, assume or incur debt obligations, incur large one-time expenses and acquire intangible assets that could result in significant future amortization expenses. Moreover, we may not be able to locate suitable acquisition opportunities and this inability could impair our ability to grow or obtain access to technology or products that may be important to the development of our business.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Securities and our Status as a Public Company</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continue to develop or be sustained.</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Prior to our initial public offering, there was no public market for our common stock, and we cannot assure you that an active trading market for our shares will continue to develop or be sustained. As a result, it may be difficult for you to sell shares at an attractive price or at all.</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common stock may be volatile, and you could lose all or part of your investment.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8" w:name="page59"/>
    <w:bookmarkEnd w:id="58"/>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The trading price of our common stock is likely to be highly volatile and could be subject to wide fluctuations in response to various factors, some of which are beyond our control, including limited trading volume. The stock market in general and the market for biopharmaceutical companies in particular have experienced extreme volatility that has often been unrelated to the operating performance of particular companies. As a result of this volatility, investors may not be able to sell their common stock at or above the price paid for the common stock. In addition to the factors discussed elsewhere in this “Risk Factors” section, these factors include:</w:t>
      </w:r>
    </w:p>
    <w:p>
      <w:pPr>
        <w:spacing w:after="0" w:line="75" w:lineRule="exact"/>
        <w:rPr>
          <w:sz w:val="20"/>
          <w:szCs w:val="20"/>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enrollment or results of our ongoing, planned and future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or negative results from, or delays in, testing and clinical trials by us, collaborators or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of our key scientific or management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actions taken by regulatory agencies with respect to our clinical trials or manufacturers;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developments in laws or regulations applicable to our product candidates and preclinical program;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and scope of health care payment systems;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relationships with collaborators, manufacturers or suppliers;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concerns regarding the safety of our product candidates or TMAb platform in general;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concerning our competitors or the pharmaceutical industry in general;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operating results;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or recommendations by securities analysts;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acquisitions, financing, collaborations or other corporate transactions;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discover, develop, acquire or in-license additional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common stock on Nasdaq;</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members of our senior management and directors or our stockholders or the anticipation that such sales may occur in the future;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and market conditions and overall fluctuations in the financial markets in the United States;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market price and volume fluctuations of comparable companies and, in particular, those that operate in the biopharmaceutical industry;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general perception of us and our business;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and factors, many of which are beyond our control.</w:t>
      </w:r>
    </w:p>
    <w:p>
      <w:pPr>
        <w:spacing w:after="0" w:line="11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These and other market and industry factors may cause the market price and demand for our common stock to fluctuate substantially, regardless of our actual operating performance, which may limit or prevent investors from selling their common stock at or above the price paid for the common stock and may otherwise negatively affect the liquidity of our common stock. In addition, the stock market in general, and biopharmaceutical companies in particular, have experienced extreme price and volume fluctuations that have often been unrelated or disproportionate to the operating performance of these companies.</w:t>
      </w:r>
    </w:p>
    <w:p>
      <w:pPr>
        <w:spacing w:after="0" w:line="75"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Some companies that have experienced volatility in the trading price of their shares have been the subject of securities class action litigation. From time to time, we have been, and may continue to be, subject to legal proceedings and claims in the ordinary course of business. We also may decide to settle lawsuits on unfavorable terms.</w:t>
      </w:r>
    </w:p>
    <w:p>
      <w:pPr>
        <w:spacing w:after="0" w:line="68"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Any such negative outcome could result in payments of substantial damages or fines, damage to our reputation or adverse changes to our business practices. Defending against litigation is costly and time-consuming, and could divert our management’s attention and our resources. Furthermore, during the course of litigation, there could be negative public announcements of the results of hearings, motions or other interim proceedings or developments, which could have a negative effect on the market price of our common stock.</w:t>
      </w:r>
    </w:p>
    <w:p>
      <w:pPr>
        <w:spacing w:after="0" w:line="68" w:lineRule="exact"/>
        <w:rPr>
          <w:sz w:val="20"/>
          <w:szCs w:val="20"/>
          <w:color w:val="auto"/>
        </w:rPr>
      </w:pPr>
    </w:p>
    <w:p>
      <w:pPr>
        <w:ind w:left="260"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meet all applicable Nasdaq listing requirements and Nasdaq determines to delist our common shares, the delisting could adversely affect the market liquidity of our common shares and the market price of our common shares could decrease.</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9" w:name="page60"/>
    <w:bookmarkEnd w:id="59"/>
    <w:p>
      <w:pPr>
        <w:ind w:firstLine="509"/>
        <w:spacing w:after="0" w:line="255" w:lineRule="auto"/>
        <w:rPr>
          <w:sz w:val="20"/>
          <w:szCs w:val="20"/>
          <w:color w:val="auto"/>
        </w:rPr>
      </w:pPr>
      <w:r>
        <w:rPr>
          <w:rFonts w:ascii="Times New Roman" w:cs="Times New Roman" w:eastAsia="Times New Roman" w:hAnsi="Times New Roman"/>
          <w:sz w:val="18"/>
          <w:szCs w:val="18"/>
          <w:color w:val="auto"/>
        </w:rPr>
        <w:t>On July 10, 2024, we received a letter from the Listing Qualifications Department of Nasdaq, notifying us that, for the previous 30 consecutive business days, the bid price for our common shares had closed below the minimum $1.00 per share requirement for continued listing on The Nasdaq Global Market under Nasdaq Listing Rule 5450(a)(1). Under Nasdaq Listing Rule 5810(c)(3)(A), we received a period of 180 calendar days, or until January 6, 2025, to regain compliance with the rule referred to in this paragraph. To regain compliance, during this 180-day compliance period, our minimum bid price of listed securities had to close at $1.00 per share or more for a minimum of 10 consecutive business days. If we did not regain compliance with the Nasdaq Listing Rules prior to the expiration of the 180-day compliance period, we would be eligible for additional time to regain compliance pursuant to Nasdaq Listing Rule 5810(c)(3)(A)(ii) by transferring to the Nasdaq Capital Market.</w:t>
      </w:r>
    </w:p>
    <w:p>
      <w:pPr>
        <w:spacing w:after="0" w:line="8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did not regain compliance with the minimum bid price requirement prior to January 6, 2025. However, we were notified by Nasdaq in a letter dated January 7, 2025 that our application to transfer to the Nasdaq Capital Market was approved and we have until July 7, 2025 to regain compliance with the minimum bid price requirement. At the opening of business on January 8, 2025, our common stock transferred to the Nasdaq Capital Market, which operates in substantially the same manner as the Nasdaq Global Select Market, where it continues to trade under the symbol “SNSE”.</w:t>
      </w:r>
    </w:p>
    <w:p>
      <w:pPr>
        <w:spacing w:after="0" w:line="72"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We intend to pursue a reverse stock split in connection with our 2025 annual meeting of stockholders in order to regain compliance with the minimum bid price rule.</w:t>
      </w:r>
    </w:p>
    <w:p>
      <w:pPr>
        <w:spacing w:after="0" w:line="5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There can be no assurance that we will maintain compliance with the requirements for listing our common shares on the Nasdaq Capital Market. Delisting could adversely affect our ability to raise additional capital through the public or private sale of equity securities, which would significantly affect the ability of investors to trade our securities and would negatively affect the value and liquidity of our common shares. Delisting could also have other negative results, including the potential loss of confidence by employees, the loss of institutional investor interest and fewer business development opportunities.</w:t>
      </w:r>
    </w:p>
    <w:p>
      <w:pPr>
        <w:spacing w:after="0" w:line="71" w:lineRule="exact"/>
        <w:rPr>
          <w:sz w:val="20"/>
          <w:szCs w:val="20"/>
          <w:color w:val="auto"/>
        </w:rPr>
      </w:pPr>
    </w:p>
    <w:p>
      <w:pPr>
        <w:ind w:left="260"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operations could be negatively affected by any securities litigation or shareholder activism, which could cause us to incur significant expense, hinder execution of business and growth strategies and impact our share price.</w:t>
      </w:r>
    </w:p>
    <w:p>
      <w:pPr>
        <w:spacing w:after="0" w:line="5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In the past, following periods of volatility in the market price of a company’s securities, securities class action litigation has often been brought against that company. Shareholder activism, which could take many forms or arise in a variety of situations, has been increasing recently. Volatility in the stock price of our common stock or other securities or other reasons may in the future cause us to become the target of securities litigation or shareholder activism.</w:t>
      </w:r>
    </w:p>
    <w:p>
      <w:pPr>
        <w:spacing w:after="0" w:line="7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Securities litigation and shareholder activism, including proxy contests, could result in substantial costs and divert management's and the Board’s attention and resources from our business. The potential of a proxy contest or other shareholder activism could interfere with our ability to execute on our strategic plan, give rise to perceived uncertainties as to our future direction, result in the loss of potential business opportunities or make it more difficult to attract and retain qualified personnel, any of which could materially and adversely affect our business and operating results. Further, our share price could be subject to significant fluctuation or otherwise be adversely affected by the events, risks and uncertainties of any securities litigation and shareholder activism.</w:t>
      </w:r>
    </w:p>
    <w:p>
      <w:pPr>
        <w:spacing w:after="0" w:line="75" w:lineRule="exact"/>
        <w:rPr>
          <w:sz w:val="20"/>
          <w:szCs w:val="20"/>
          <w:color w:val="auto"/>
        </w:rPr>
      </w:pPr>
    </w:p>
    <w:p>
      <w:pPr>
        <w:ind w:left="26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may be sold into the market, which could cause the market price of our common stock to drop significantly, even if our business is doing well.</w:t>
      </w:r>
    </w:p>
    <w:p>
      <w:pPr>
        <w:spacing w:after="0" w:line="51"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our common stock in the public market could occur at any time. If our stockholders sell, or the market perceives that our stockholders intend to sell, substantial amounts of our shares of common stock in the public market, the market price of our common stock could decline significantly.</w:t>
      </w:r>
    </w:p>
    <w:p>
      <w:pPr>
        <w:spacing w:after="0" w:line="68"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 addition, we have filed registration statements registering the issuance of all shares of common stock subject to options or other equity awards issued or reserved for future issuance under our equity incentive plans. Shares registered under these registration statements will be available for sale in the public market subject to vesting arrangements and exercise of options and, in the case of our affiliates, the restrictions of Rule 144 under the Securities Act.</w:t>
      </w:r>
    </w:p>
    <w:p>
      <w:pPr>
        <w:spacing w:after="0" w:line="68"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Furthermore, certain holders of our common stock, or their transferees, have rights, subject to some conditions, to require us to file one or more registration statements covering their shares or to include their shares in registration statements that we may file for ourselves or other stockholders. If we were to register the resale of these shares, they could be freely sold in the public market. If these additional shares are sold, or if it is perceived that they will be sold, in the public market, the trading price of our common stock could decline.</w:t>
      </w:r>
    </w:p>
    <w:p>
      <w:pPr>
        <w:spacing w:after="0" w:line="68" w:lineRule="exact"/>
        <w:rPr>
          <w:sz w:val="20"/>
          <w:szCs w:val="20"/>
          <w:color w:val="auto"/>
        </w:rPr>
      </w:pPr>
    </w:p>
    <w:p>
      <w:pPr>
        <w:ind w:lef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or prevent fraud.</w:t>
      </w:r>
    </w:p>
    <w:p>
      <w:pPr>
        <w:spacing w:after="0" w:line="51"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or any subsequent testing by our independent</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0" w:name="page61"/>
    <w:bookmarkEnd w:id="60"/>
    <w:p>
      <w:pPr>
        <w:spacing w:after="0" w:line="261" w:lineRule="auto"/>
        <w:rPr>
          <w:sz w:val="20"/>
          <w:szCs w:val="20"/>
          <w:color w:val="auto"/>
        </w:rPr>
      </w:pPr>
      <w:r>
        <w:rPr>
          <w:rFonts w:ascii="Times New Roman" w:cs="Times New Roman" w:eastAsia="Times New Roman" w:hAnsi="Times New Roman"/>
          <w:sz w:val="18"/>
          <w:szCs w:val="18"/>
          <w:color w:val="auto"/>
        </w:rPr>
        <w:t>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Ineffective internal controls could also cause investors to lose confidence in our reported financial information, which could have a negative effect on the trading price of our common stock.</w:t>
      </w:r>
    </w:p>
    <w:p>
      <w:pPr>
        <w:spacing w:after="0" w:line="68" w:lineRule="exact"/>
        <w:rPr>
          <w:sz w:val="20"/>
          <w:szCs w:val="20"/>
          <w:color w:val="auto"/>
        </w:rPr>
      </w:pPr>
    </w:p>
    <w:p>
      <w:pPr>
        <w:ind w:left="260"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we cannot be certain if the reduced reporting requirements applicable to emerging growth companies will make our shares of common stock less attractive to investors.</w:t>
      </w:r>
    </w:p>
    <w:p>
      <w:pPr>
        <w:spacing w:after="0" w:line="51"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For as long as we continue to be an emerging growth company, we may take advantage of exemptions from various reporting requirements that are applicable to other public companies that are not emerging growth companies, including the auditor attestation requirements in the assessment of our internal control over financial reporting under Section 404(b) of the Sarbanes-Oxley Act, compliance with any new requirements adopted by the PCAOB, disclosure obligations regarding executive compensation in our periodic reports and proxy statements, and the requirements of holding advisory “say-on-pay” votes on executive compensation and shareholder advisory votes on golden parachute compensation not previously approved. Certain of these reduced reporting requirements and exemptions are also available to us due to the fact that we qualify as a “smaller reporting company” under SEC rules. For instance, smaller reporting companies are not required to obtain an auditor attestation and report regarding management’s assessment of internal control over financial reporting, are not required to provide a compensation discussion and analysis, are not required to provide a pay-for-performance graph or CEO pay ratio disclosure and may present only two years of audited financial statements and related MD&amp;A disclosure.</w:t>
      </w:r>
    </w:p>
    <w:p>
      <w:pPr>
        <w:spacing w:after="0" w:line="8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Under the JOBS Act, we will remain an emerging growth company until the earliest of (1) the last day of the fiscal year in which we have more than $1.235 billion in annual revenue; (2) the date we qualify as a “large accelerated filer,” with at least $700.0 million of equity securities held by non-affiliates; (3) the issuance, in any three-year period, by our company of more than $1.0 billion in non-convertible debt securities; and (4) December 31, 2026, which is the last day of the fiscal year following the fifth anniversary of the date of the first sale of our common stock pursuant to an effective registration statement filed under the Securities Act. Under current SEC rules, however, we will continue to qualify as a “smaller reporting company” for so long as (i) we have a public float (i.e., the market value of common equity held by non-affiliates) of less than $250 million or (ii) our annual revenue is less than $100 million during the most recently completed fiscal year and the market value of our common stock held by non-affiliates is less than $700 million.</w:t>
      </w:r>
    </w:p>
    <w:p>
      <w:pPr>
        <w:spacing w:after="0" w:line="8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cannot predict if investors will find our shares of common stock to be less attractive because we may rely on these exemptions. If some investors find our shares of common stock less attractive as a result, there may be a less active trading market for our shares of common stock, and our share price may be more volatile.</w:t>
      </w:r>
    </w:p>
    <w:p>
      <w:pPr>
        <w:spacing w:after="0" w:line="68"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Under the JOBS Act, emerging growth companies also can delay adopting new or revised accounting standards until such time as those standards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emerging growth company. Therefore, the reported results of operations contained in our condensed consolidated financial statements may not be directly comparable to those of other public companies.</w:t>
      </w:r>
    </w:p>
    <w:p>
      <w:pPr>
        <w:spacing w:after="0" w:line="7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paying any cash dividends on our common stock in the foreseeable future.</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We do not intend to pay any cash dividends on our common stock in the foreseeable future and we currently intend to retain our future earnings, if any, to fund the development and growth of our business. Therefore, you should not rely on an investment in our common stock to provide dividend income. Our board of directors has complete discretion as to whether to distribute dividends. Even if our board of directors decides to declare and pay dividends, the timing, amount and form of future dividends, if any, will depend on, among other things, our future results of operations and cash flow, our capital requirements and surplus, the amount of distributions, if any, received by us from our subsidiaries, our financial condition, contractual restrictions and other factors deemed relevant by our board of directors. As a result, capital appreciation, if any, on our common stock will be your sole source of gains for the foreseeable future.</w:t>
      </w:r>
    </w:p>
    <w:p>
      <w:pPr>
        <w:spacing w:after="0" w:line="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to offset future taxable income may be subject to certain limitations.</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Our net operating loss, or NOL, carryforwards could expire unused and be unavailable to offset future income tax liabilities because of their limited duration or because of restrictions under U.S. tax law. U.S. federal NOLs generated in taxable years beginning before January 1, 2018 are permitted to be carried forward for only 20 taxable years under applicable U.S. federal income tax law. Under the Tax Cuts and Jobs Act of 2017, or the Tax Act, as modified by the Coronavirus Aid, Relief, and Economic Security Act, or the CARES Act, NOLs arising in taxable years beginning after December 31, 2017 may be carried forward indefinitely, but the deductibility of such NOLs generally will be limited in taxable years beginning after December 31, 2020 to 80% of current year taxable income. As of December 31, 2024, we had NOL carryforwards for federal and state income tax purposes of approximately $150.6 million and $84.4 million, respectively, a portion of which expires beginning in 2025. Net operating loss carryforwards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1" w:name="page62"/>
    <w:bookmarkEnd w:id="61"/>
    <w:p>
      <w:pPr>
        <w:ind w:right="180"/>
        <w:spacing w:after="0" w:line="282" w:lineRule="auto"/>
        <w:rPr>
          <w:sz w:val="20"/>
          <w:szCs w:val="20"/>
          <w:color w:val="auto"/>
        </w:rPr>
      </w:pPr>
      <w:r>
        <w:rPr>
          <w:rFonts w:ascii="Times New Roman" w:cs="Times New Roman" w:eastAsia="Times New Roman" w:hAnsi="Times New Roman"/>
          <w:sz w:val="18"/>
          <w:szCs w:val="18"/>
          <w:color w:val="auto"/>
        </w:rPr>
        <w:t>generated after December 31, 2017 for federal tax reporting purposes of $114.4 million have an indefinite life. The remaining federal net operating losses are subject to a 20-year carryforward period.</w:t>
      </w:r>
    </w:p>
    <w:p>
      <w:pPr>
        <w:spacing w:after="0" w:line="54"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In general, under Section 382 of the Internal Revenue Code of 1986, as amended, or the Code, a corporation that undergoes an “ownership change” (as defined under Section 382 of the Code and applicable Treasury Regulations) is subject to limitations on its ability to utilize its pre-change NOLs to offset future taxable income. We have not determined whether our NOLs are limited under Section 382 of the Code. We may have experienced an ownership change in the past, and may experience ownership changes in the future as a result of subsequent shifts in our stock ownership, some of which are outside our control. Furthermore, our ability to utilize NOLs of companies that we have acquired or may acquire in the future may be subject to limitations. There is also a risk that due to regulatory changes, such as suspensions on the use of NOLs or other unforeseen reasons, our existing NOLs could expire or otherwise be unavailable to reduce future income tax liabilities, including for state tax purposes. For these reasons, we may not be able to utilize a material portion of the NOLs reflected on our balance sheet, even if we attain profitability, which could potentially result in increased future tax liability to us and could adversely affect our operating results and financial condition.</w:t>
      </w:r>
    </w:p>
    <w:p>
      <w:pPr>
        <w:spacing w:after="0" w:line="76" w:lineRule="exact"/>
        <w:rPr>
          <w:sz w:val="20"/>
          <w:szCs w:val="20"/>
          <w:color w:val="auto"/>
        </w:rPr>
      </w:pPr>
    </w:p>
    <w:p>
      <w:pPr>
        <w:ind w:left="260"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expect to continue incurring significantly increased costs as a result of operating as a company whose common stock is publicly traded, and our management will be required to devote substantial time to new compliance initiatives.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As a public company, we have incurred significant legal, accounting and other expenses that we did not incur previously. as a private company. These expenses will likely be even more significant after we no longer qualify as an emerging growth company. The Sarbanes-Oxley Act, the Dodd-Frank Wall Street Reform and Consumer Protection Act, the listing requirements of Nasdaq and other applicable securities rules and regulations impose various requirements on public companies in the United States, including the establishment and maintenance of effective disclosure and financial controls and corporate governance practices. Our senior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 which in turn could make it more difficult for us to attract and retain qualified senior management personnel or members for our board of directors.</w:t>
      </w:r>
    </w:p>
    <w:p>
      <w:pPr>
        <w:spacing w:after="0" w:line="80"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However,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68"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Pursuant to Section 404, we are required to furnish a report by our senior management on our internal control over financial reporting. However, while we remain an emerging growth company or a smaller reporting company, we will not be required to include an attestation report on internal control over financial reporting issued by our independent registered public accounting firm. To prepare for eventual compliance with Section 404,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w:t>
      </w:r>
    </w:p>
    <w:p>
      <w:pPr>
        <w:spacing w:after="0" w:line="76" w:lineRule="exact"/>
        <w:rPr>
          <w:sz w:val="20"/>
          <w:szCs w:val="20"/>
          <w:color w:val="auto"/>
        </w:rPr>
      </w:pPr>
    </w:p>
    <w:p>
      <w:pPr>
        <w:ind w:left="260" w:right="4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Our amended and restated certificate of incorporation provides that the Court of Chancery of the State of Delaware and, to the extent enforceable, the federal district courts of the United States of America, will be the exclusive forum for substantially all disputes between us and our stockholders, which could limit our stockholders’ ability to obtain a favorable judicial forum for disputes with us or our directors, officers, or employees.</w:t>
      </w:r>
    </w:p>
    <w:p>
      <w:pPr>
        <w:spacing w:after="0" w:line="49"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and, to the extent enforceable, the federal district courts of the United States of America, will be the exclusive forum for the following types of actions or proceedings under Delaware statutory or common law:</w:t>
      </w:r>
    </w:p>
    <w:p>
      <w:pPr>
        <w:spacing w:after="0" w:line="68" w:lineRule="exact"/>
        <w:rPr>
          <w:sz w:val="20"/>
          <w:szCs w:val="20"/>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claim or cause of action brought on our behalf;</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for breach of a fiduciary duty owed by any of our current or former directors, officers or other employees to us or our stockholders;</w:t>
      </w:r>
    </w:p>
    <w:p>
      <w:pPr>
        <w:spacing w:after="0" w:line="53"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against us or any of our current or former directors, officers or other employees, arising out of or pursuant to any provision of the DGCL, our certificate of incorporation or our bylaws;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seeking to interpret, apply, enforce or determine the validity of our certificate of incorporation or our bylaws;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2" w:name="page63"/>
    <w:bookmarkEnd w:id="62"/>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as to which the DGCL confers jurisdiction to the Court of Chancery of the State of Delaware; and</w:t>
      </w:r>
    </w:p>
    <w:p>
      <w:pPr>
        <w:spacing w:after="0" w:line="117" w:lineRule="exact"/>
        <w:rPr>
          <w:rFonts w:ascii="Times New Roman" w:cs="Times New Roman" w:eastAsia="Times New Roman" w:hAnsi="Times New Roman"/>
          <w:sz w:val="18"/>
          <w:szCs w:val="18"/>
          <w:color w:val="auto"/>
        </w:rPr>
      </w:pPr>
    </w:p>
    <w:p>
      <w:pPr>
        <w:jc w:val="both"/>
        <w:ind w:left="1020" w:right="80" w:hanging="503"/>
        <w:spacing w:after="0" w:line="266"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against us or any of our current or former directors, officers or other employees that is governed by the internal-affairs doctrine, in all cases to the fullest extent permitted by law and subject to the court having personal jurisdiction over the indispensable parties named as defendants.</w:t>
      </w:r>
    </w:p>
    <w:p>
      <w:pPr>
        <w:spacing w:after="0" w:line="6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This provision would not apply to suits brought to enforce a duty or liability created by the Securities Act or the Securities Exchange Act of 1934, or the Exchange Act, or any claim for which the U.S. federal courts have exclusive jurisdiction. Our amended and restated certificate of incorporation will provide that the federal district courts of the United States of America will be the exclusive forum for resolving any complaint asserting a cause of action arising under the Securities Act.</w:t>
      </w:r>
    </w:p>
    <w:p>
      <w:pPr>
        <w:spacing w:after="0" w:line="72"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If any other court of competent jurisdiction were to find either exclusive-forum provision in our amended and restated certificate of incorporation to be inapplicable or unenforceable, we may incur additional costs associated with resolving the dispute in other jurisdictions, which could seriously harm our business.</w:t>
      </w:r>
    </w:p>
    <w:p>
      <w:pPr>
        <w:spacing w:after="0" w:line="68" w:lineRule="exact"/>
        <w:rPr>
          <w:sz w:val="20"/>
          <w:szCs w:val="20"/>
          <w:color w:val="auto"/>
        </w:rPr>
      </w:pPr>
    </w:p>
    <w:p>
      <w:pPr>
        <w:ind w:left="26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Insiders have substantial influence over us and could cause us to take actions that may not be, or refrain from taking actions that may be, in our best interest or in the best interest of our stockholders.</w:t>
      </w:r>
    </w:p>
    <w:p>
      <w:pPr>
        <w:spacing w:after="0" w:line="51"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As of May 2, 2025, we believe that our directors, executive officers and principal stockholders, together with their affiliates, own, in the aggregate, more than 30% of our outstanding common stock. As a result, if these or certain of these stockholders were to choose to act together, they may be able to affect the outcome of matters submitted to our stockholders for approval, as well as our management and affairs, such as:</w:t>
      </w:r>
    </w:p>
    <w:p>
      <w:pPr>
        <w:spacing w:after="0" w:line="68" w:lineRule="exact"/>
        <w:rPr>
          <w:sz w:val="20"/>
          <w:szCs w:val="20"/>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composition of our board of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amendments to our certificate of incorporation and bylaws;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mergers or sales of substantially all of our assets;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structure and financing; and</w:t>
      </w:r>
    </w:p>
    <w:p>
      <w:pPr>
        <w:spacing w:after="0" w:line="117" w:lineRule="exact"/>
        <w:rPr>
          <w:rFonts w:ascii="Times New Roman" w:cs="Times New Roman" w:eastAsia="Times New Roman" w:hAnsi="Times New Roman"/>
          <w:sz w:val="18"/>
          <w:szCs w:val="18"/>
          <w:color w:val="auto"/>
        </w:rPr>
      </w:pPr>
    </w:p>
    <w:p>
      <w:pPr>
        <w:ind w:left="520" w:right="1600" w:hanging="3"/>
        <w:spacing w:after="0" w:line="375" w:lineRule="auto"/>
        <w:tabs>
          <w:tab w:leader="none" w:pos="102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contracts between us and these stockholders or their affiliates, which could involve conflicts of interest. This concentration of ownership could harm the market price of our common stock by:</w:t>
      </w:r>
    </w:p>
    <w:p>
      <w:pPr>
        <w:spacing w:after="0" w:line="1"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delaying, deferring or preventing a change in control of our company and making some transactions more difficult or impossible without the support of these stockholders, even if such transactions are beneficial to other stockholders;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impeding a merger, consolidation, takeover or other business combination involving our company;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engage in transactions that may not be agreeable to or in the best interest of us or other stockholders.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ind w:left="260"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operations and clinical development plans and timelines, as well as the manufacturing, clinical trial and other business activities performed by us or by third parties with whom we conduct business, including our contract manufacturers, CROs, shippers, equipment suppliers and others, could be adversely affected by the effects of health epidemics.</w:t>
      </w:r>
    </w:p>
    <w:p>
      <w:pPr>
        <w:spacing w:after="0" w:line="67" w:lineRule="exact"/>
        <w:rPr>
          <w:sz w:val="20"/>
          <w:szCs w:val="20"/>
          <w:color w:val="auto"/>
        </w:rPr>
      </w:pPr>
    </w:p>
    <w:p>
      <w:pPr>
        <w:jc w:val="both"/>
        <w:ind w:right="80" w:firstLine="509"/>
        <w:spacing w:after="0" w:line="261" w:lineRule="auto"/>
        <w:rPr>
          <w:sz w:val="20"/>
          <w:szCs w:val="20"/>
          <w:color w:val="auto"/>
        </w:rPr>
      </w:pPr>
      <w:r>
        <w:rPr>
          <w:rFonts w:ascii="Times New Roman" w:cs="Times New Roman" w:eastAsia="Times New Roman" w:hAnsi="Times New Roman"/>
          <w:sz w:val="18"/>
          <w:szCs w:val="18"/>
          <w:color w:val="auto"/>
        </w:rPr>
        <w:t>Our business could be adversely affected by health epidemics wherever we have clinical trial sites or other business operations. In addition, health epidemics could cause significant disruption in the operations of third-party manufacturers, CROs and other third parties upon whom we rely. The effects of government orders may negatively impact productivity, disrupt our business and delay our clinical programs and timelines, the magnitude of which will depend, in part, on the length and severity of the restrictions and other limitations on our ability to conduct our business in the ordinary course.</w:t>
      </w:r>
    </w:p>
    <w:p>
      <w:pPr>
        <w:spacing w:after="0" w:line="7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If our relationships with our suppliers or other vendors are terminated or scaled back as a result of health epidemics, we may not be able to enter into arrangements with alternative suppliers or vendors or do so on commercially reasonable terms or in a timely manner. Switching or adding additional suppliers or vendors involves substantial cost and requires management time and focus. In addition, there is a natural transition period when a new supplier or vendor commences work. As a result, delays may occur, which could adversely impact our ability to meet our desired clinical development and any future commercialization timelines. Although we carefully manage our relationships with our suppliers and vendors, there can be no assurance that we will not encounter challenges or delays in the future or that these delays or challenges will not harm our business.</w:t>
      </w:r>
    </w:p>
    <w:p>
      <w:pPr>
        <w:spacing w:after="0" w:line="79"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In addition, our preclinical studies and clinical trials may be affected by health epidemics. Clinical site initiation, patient enrollment and activities that require visits to clinical sites, including data monitoring, may be delayed due to prioritization of hospital resources toward the pandemic or concerns among patients about participating in clinical trials during a pandemic. Some patients may</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3" w:name="page64"/>
    <w:bookmarkEnd w:id="63"/>
    <w:p>
      <w:pPr>
        <w:ind w:right="160"/>
        <w:spacing w:after="0" w:line="261" w:lineRule="auto"/>
        <w:rPr>
          <w:sz w:val="20"/>
          <w:szCs w:val="20"/>
          <w:color w:val="auto"/>
        </w:rPr>
      </w:pPr>
      <w:r>
        <w:rPr>
          <w:rFonts w:ascii="Times New Roman" w:cs="Times New Roman" w:eastAsia="Times New Roman" w:hAnsi="Times New Roman"/>
          <w:sz w:val="18"/>
          <w:szCs w:val="18"/>
          <w:color w:val="auto"/>
        </w:rPr>
        <w:t>have difficulty following certain aspects of clinical trial protocols if quarantines impede patient movement or interrupt healthcare services. These challenges may also increase the costs of completing our clinical trials. Similarly, if we are unable to successfully recruit and retain patients and principal investigators and site staff who, as healthcare providers, may have heightened exposure or experience additional restrictions by their institutions, city or state, our clinical trial operations could be adversely impacted.</w:t>
      </w:r>
    </w:p>
    <w:p>
      <w:pPr>
        <w:spacing w:after="0" w:line="68" w:lineRule="exact"/>
        <w:rPr>
          <w:sz w:val="20"/>
          <w:szCs w:val="20"/>
          <w:color w:val="auto"/>
        </w:rPr>
      </w:pPr>
    </w:p>
    <w:p>
      <w:pPr>
        <w:jc w:val="both"/>
        <w:ind w:lef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computer systems or data, or those of our collaborators or other contractors or consultants, may be compromised, which could result in adverse consequences, including but not limited to regulatory investigations or actions; litigation; fines and penalties; significant disruption of our product development programs and our ability to operate our business effectively; reputational harm; and other adverse consequences.</w:t>
      </w:r>
    </w:p>
    <w:p>
      <w:pPr>
        <w:spacing w:after="0" w:line="6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computer systems and those of our current and any future collaborators and other contractors or consultants are vulnerable to a variety of disruptive and evolving threats, including computer viruses, malicious or unintentional actions or inactions that cause vulnerabilities, malware, software or hardware failure, supply chain attacks, social engineering (including through deep fakes, which may be increasingly more difficult to identify as fake, and phishing), credential stuffing, ransomware, unauthorized access, natural disasters, terrorism, war and telecommunication and electrical failures. Ransomware attacks, including those perpetrated by organized criminal threat actors, nation-states, and nation-state-supported actors,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spacing w:after="0" w:line="84"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In addition, our reliance on third-party service providers could introduce new cybersecurity risks and vulnerabilities, and other threats to our business operations. For example, we rely on third parties to operate critical business systems and process sensitive data in a variety of contexts, including, without limitation, cloud-based infrastructure, data center facilities, encryption and authentication technology, personnel email, and other functions. We also rely on third parties, including CROs, clinical trial sites and clinical trial vendors, to collect, store, and transmit sensitive data as part of our research activities. Our ability to monitor these third parties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damages, or we may be unable to recover such awards. Supply-chain attacks have also increased in frequency and severity, and we cannot guarantee that third parties’ infrastructure in our supply chain or our third-party partners’ supply chains have not been compromised. Similarly,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(including our products/services) or the third-party information technology systems that support us and our services.</w:t>
      </w:r>
    </w:p>
    <w:p>
      <w:pPr>
        <w:spacing w:after="0" w:line="82"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Certain functional areas of our workforce work remotely on a full- or part-time basis or otherwise utilize network connections, computers and devices outside of our premises or network, which poses additional risks to our business.</w:t>
      </w:r>
    </w:p>
    <w:p>
      <w:pPr>
        <w:spacing w:after="0" w:line="5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security incidents, there can be no assurance that these measures will be effective. We take steps designed to detect, mitigate, and remediate vulnerabilities in our information systems (such as our hardware and/or software, including that of third parties upon which we rely). We may not, however, detect and remediate all such vulnerabilities including on a timely basis. Further, we may experience delays in developing and deploying remedial measures and patches designed to address identified vulnerabilities. Vulnerabilities could be exploited and result in a security incident.</w:t>
      </w:r>
    </w:p>
    <w:p>
      <w:pPr>
        <w:spacing w:after="0" w:line="75"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We may choose or be required to expend significant resources or modify our business activities (including our clinical trial activities) in an effort to protect against security incidents, particularly where required by applicable data privacy and security laws or regulations or industry standards. Certain data privacy and security obligations require us to implement and maintain certain security measures.</w:t>
      </w:r>
    </w:p>
    <w:p>
      <w:pPr>
        <w:spacing w:after="0" w:line="6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While we have not experienced any significant system failure, accident or security breach to date, if such a significant event were to occur and cause interruptions in our operations, it could result in a disruption of our development programs and our business operations, whether due to a loss of our trade secrets or other proprietary information, significant delays or setbacks in our research, or other similar disruptions. For example, the loss of clinical trial data from completed or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be exposed to litigation (including class claims), regulatory enforcement action (for example, investigations, fines, penalties, audits and inspections), additional reporting requirements and/or oversight, fines, penalties, indemnification obligations, our competitive position could be harmed, our reputation could be damaged, and the further development and commercialization of our product candidates could be delayed.</w:t>
      </w:r>
    </w:p>
    <w:p>
      <w:pPr>
        <w:spacing w:after="0" w:line="80"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Our contracts may not contain limitations of liability, and even where they do, there can be no assurance that limitations of liability in our contracts are sufficient to protect us from claims related to our data privacy and security obligations. Additionally, we</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4" w:name="page65"/>
    <w:bookmarkEnd w:id="64"/>
    <w:p>
      <w:pPr>
        <w:ind w:right="820"/>
        <w:spacing w:after="0" w:line="282" w:lineRule="auto"/>
        <w:rPr>
          <w:sz w:val="20"/>
          <w:szCs w:val="20"/>
          <w:color w:val="auto"/>
        </w:rPr>
      </w:pPr>
      <w:r>
        <w:rPr>
          <w:rFonts w:ascii="Times New Roman" w:cs="Times New Roman" w:eastAsia="Times New Roman" w:hAnsi="Times New Roman"/>
          <w:sz w:val="18"/>
          <w:szCs w:val="18"/>
          <w:color w:val="auto"/>
        </w:rPr>
        <w:t>cannot be certain that our insurance coverage will be adequate for data security liabilities actually incurred, will continue to be available to us on economically and commercially reasonable terms, or at all, or that any insurer will not deny coverage as to any future claim.</w:t>
      </w:r>
    </w:p>
    <w:p>
      <w:pPr>
        <w:spacing w:after="0" w:line="54"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 addition to experiencing a security incident, third parties may gather, collect, or infer sensitive information about us from public sources, data brokers, or other means that reveal competitively sensitive details about the company and could be used to undermine our competitive advantage or market position. Additionally, sensitive information of ours could be leaked, disclosed, or revealed as a result of or in connection with our employees’, personnel’s, or vendors’ use of generative AI technologies.</w:t>
      </w:r>
    </w:p>
    <w:p>
      <w:pPr>
        <w:spacing w:after="0" w:line="68" w:lineRule="exact"/>
        <w:rPr>
          <w:sz w:val="20"/>
          <w:szCs w:val="20"/>
          <w:color w:val="auto"/>
        </w:rPr>
      </w:pPr>
    </w:p>
    <w:p>
      <w:pPr>
        <w:ind w:left="260" w:right="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and the third parties with whom we work are subject to rapidly changing and increasingly stringent U.S. and foreign laws, regulations, and rules, contractual obligations, industry standards, policies and other obligations relating to privacy, data protection and information security. Our actual or perceived failure to comply with these obligations could lead to regulatory investigations or actions; litigation (including class claims) and mass arbitration demands; fines and penalties; disruptions of business operations; reputational harm; loss of revenue or profits; loss of customers or sales; and otherwise harm our business.</w:t>
      </w:r>
    </w:p>
    <w:p>
      <w:pPr>
        <w:spacing w:after="0" w:line="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maintain sensitive information, including confidential business and personal information in connection with our preclinical studies and our employees, and are subject to laws and regulations governing the privacy and security of such information. In the United States, there are numerous federal and state privacy and data security laws and regulations governing the collection, use, disclosure and protection of personal information, including federal and state health information privacy laws, federal and state security breach notification laws, and federal and state consumer protection laws. Each of these constantly evolving laws can be subject to varying interpretations. Compliance with these and any other applicable privacy and data security laws and regulations is a rigorous and time-intensive process, and we may be required to put in place additional mechanisms ensuring compliance with the new data protection rules. If we fail to comply with any such laws or regulations, we may face significant fines and penalties that could adversely affect our business, financial condition and results of operations. Furthermore, the laws are not consistent, and compliance in the event of a widespread data breach is costly.</w:t>
      </w:r>
    </w:p>
    <w:p>
      <w:pPr>
        <w:spacing w:after="0" w:line="84"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General Data Protection Regulation, the GDPR, applies in the European Economic Area, the EEA, into which we may expand our business. The GDPR governs the collection, use, disclosure, transfer or other processing of personal data of European data subjects. Among other things, the GDPR imposes requirements regarding the security of personal data and notification of data processing obligations to the competent national data processing authorities, changes the lawful bases on which personal data can be processed, expands the definition of personal data over prior EU law and requires changes to informed consent practices, as well as more detailed notices for clinical trial subjects and investigators. In addition, the GDPR increases the scrutiny of transfers of personal data from clinical trial sites located in the EEA to the United States and other jurisdictions that the European Commission does not recognize as having “adequate” data protection laws, and imposes substantial fines for breaches and violations (up to the greater of €20 million or 4% of our consolidated annual worldwide gross revenue). The GDPR also confers a private right of action on data subjects and consumer associations to lodge complaints with supervisory authorities, seek judicial remedies and obtain compensation for damages resulting from violations of the GDPR.</w:t>
      </w:r>
    </w:p>
    <w:p>
      <w:pPr>
        <w:spacing w:after="0" w:line="80" w:lineRule="exact"/>
        <w:rPr>
          <w:sz w:val="20"/>
          <w:szCs w:val="20"/>
          <w:color w:val="auto"/>
        </w:rPr>
      </w:pPr>
    </w:p>
    <w:p>
      <w:pPr>
        <w:ind w:right="80" w:firstLine="509"/>
        <w:spacing w:after="0" w:line="252" w:lineRule="auto"/>
        <w:rPr>
          <w:sz w:val="20"/>
          <w:szCs w:val="20"/>
          <w:color w:val="auto"/>
        </w:rPr>
      </w:pPr>
      <w:r>
        <w:rPr>
          <w:rFonts w:ascii="Times New Roman" w:cs="Times New Roman" w:eastAsia="Times New Roman" w:hAnsi="Times New Roman"/>
          <w:sz w:val="18"/>
          <w:szCs w:val="18"/>
          <w:color w:val="auto"/>
        </w:rPr>
        <w:t>Privacy and data security laws in the United States at the federal, state and local level are increasingly complex and changing rapidly. For example, at the federal level, HIPAA, as amended by HITECH, imposes specific requirements relating to the privacy, security and transmission of individually identifiable health information. Additionally, at the state level, the privacy and data protection landscape is changing rapidly. Many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if we become subject to these laws. For example, the California Consumer Privacy Act, or the CCPA, applies to personal information data of consumers, business representatives, and employees who are California residents and requires businesses to provide specific disclosures in privacy notices and honor requests of such individuals to exercise certain rights concerning their personal data. The CCPA provides for civil penalties for violations, as well as a private right of action for certain data breaches. The CCPA provides fines for noncompliance and a limited private right of action in connection with certain data breaches. While the CCPA and other state privacy laws contain an exemption for certain personal information processed in connection with clinical trials, these developments could further complicate compliance efforts, and increase legal risk and compliance costs for us and the third parties with whom we work should we become subject to these laws. Similar laws have been passed or are being considered in several other states, as well as at the federal and local levels. The evolving patchwork of differing state and federal privacy and data security laws increases the cost and complexity of operating our business and increases our exposure to liability, including from third party litigation and regulatory investigations, enforcement, fines, and penalties.</w:t>
      </w:r>
    </w:p>
    <w:p>
      <w:pPr>
        <w:spacing w:after="0" w:line="8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Our employees and personnel use generative artificial intelligence (“AI”) technologies to perform their work, and the disclosure and use of personal data in generative AI technologies is subject to various privacy laws and other privacy obligations. Governments have passed and are likely to pass additional laws regulating generative AI. Our use of this technology could result in additional</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5" w:name="page66"/>
    <w:bookmarkEnd w:id="65"/>
    <w:p>
      <w:pPr>
        <w:ind w:right="240"/>
        <w:spacing w:after="0" w:line="282" w:lineRule="auto"/>
        <w:rPr>
          <w:sz w:val="20"/>
          <w:szCs w:val="20"/>
          <w:color w:val="auto"/>
        </w:rPr>
      </w:pPr>
      <w:r>
        <w:rPr>
          <w:rFonts w:ascii="Times New Roman" w:cs="Times New Roman" w:eastAsia="Times New Roman" w:hAnsi="Times New Roman"/>
          <w:sz w:val="18"/>
          <w:szCs w:val="18"/>
          <w:color w:val="auto"/>
        </w:rPr>
        <w:t>compliance costs, regulatory investigations and actions, and lawsuits. If we are unable to use generative AI, it could make our business less efficient and result in competitive disadvantages.</w:t>
      </w:r>
    </w:p>
    <w:p>
      <w:pPr>
        <w:spacing w:after="0" w:line="5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addition to data privacy and security laws, we are bound by contractual obligations and our efforts to comply with such obligations may not be successful. We publish privacy policies and other statements regarding data privacy and security. Regulators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w:t>
      </w:r>
    </w:p>
    <w:p>
      <w:pPr>
        <w:spacing w:after="0" w:line="72"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Our obligations related to data privacy and security (and consumers’ data privacy obligations) are quickly changing in an increasingly stringent fashion and creating uncertainty. These obligations may be subject to differing applications and interpretations, which may be inconsistent or in conflict among jurisdictions. Monitoring, preparing for and complying with these obligations requires us to devote significant resources (including, without limitation, financial and time-related resources). These obligations have in the past and may in the future necessitate changes to our information technologies, systems and practices and to those of any third parties that process personal information on our behalf. In addition, these obligations may require us to change aspects of our business model or our clinical trials. Although we endeavor to comply with applicable data privacy and security obligations, we may at times fail (or be perceived to have failed) to do so. Moreover, despite our efforts, our personnel or third parties upon whom we rely may fail to comply with such obligations.</w:t>
      </w:r>
    </w:p>
    <w:p>
      <w:pPr>
        <w:spacing w:after="0" w:line="84"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If we (or third parties with whom we work) fail, or are perceived to have failed, to address or comply with data privacy, protection and security obligations, we could face significant consequences, including (without limitation): government enforcement actions (e.g., investigations, fines, penalties, audits, inspections and similar); litigation (including class-related claims) and mass arbitration demands; additional reporting requirements and/or oversight; bans on processing personal information; orders to destroy or not use personal information; and/or imprisonment of company officials.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interruptions or stoppages in our business operations (including our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pacing w:after="0" w:line="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Business disruptions could seriously harm our future revenue and financial condition and increase our costs and expenses.</w:t>
      </w:r>
    </w:p>
    <w:p>
      <w:pPr>
        <w:spacing w:after="0" w:line="121"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Our operations, and those of our vendors and suppliers, could be subject to power shortages, telecommunications failures, water shortages, civil unrest, labor disputes, violence, earthquakes, floods, hurricanes, typhoons, fires, extreme weather conditions, infectious disease, medical epidemics and other natural or man-made disasters or business interruptions, for which we are predominantly self-insured. The occurrence of any of these business disruptions could seriously harm our operations and financial condition and increase our costs and expenses. We currently rely on third-party suppliers to produce and process our product candidates on a patient-by-patient basis. Our ability to obtain clinical supplies of our product candidates could be disrupted if the operations of these suppliers are affected by a man-made or natural disaster or other business interruption.</w:t>
      </w:r>
    </w:p>
    <w:p>
      <w:pPr>
        <w:spacing w:after="0" w:line="75" w:lineRule="exact"/>
        <w:rPr>
          <w:sz w:val="20"/>
          <w:szCs w:val="20"/>
          <w:color w:val="auto"/>
        </w:rPr>
      </w:pPr>
    </w:p>
    <w:p>
      <w:pPr>
        <w:ind w:left="26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analysts do not publish research or reports, or publish unfavorable research or reports, about us, our business or our market, the price and trading volume of our common stock could decline.</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equity research analysts publish about us and our business. As a public company, we have only limited research coverage by equity research analysts. Equity research analysts may elect not to initiate or continue to provide research coverage of our common stock, and such lack of research coverage may adversely affect the market price of our common stock. Even if we continue to have equity research analyst coverage, we will not have any control over the analysts or the content and opinions included in their reports. The price of our common stock could decline if one or more equity research analysts downgrade our common stock or issue other unfavorable commentary or research about us. If one or more equity research analysts ceases coverage of us or fails to publish reports on us regularly, demand for our common stock could decrease, which in turn could cause the trading price or trading volume of our common stock to decline.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ind w:left="520" w:right="7400" w:hanging="512"/>
        <w:spacing w:after="0" w:line="412" w:lineRule="auto"/>
        <w:tabs>
          <w:tab w:leader="none" w:pos="266"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Recent Sales of Unregistered Equity Securities </w:t>
      </w:r>
      <w:r>
        <w:rPr>
          <w:rFonts w:ascii="Times New Roman" w:cs="Times New Roman" w:eastAsia="Times New Roman" w:hAnsi="Times New Roman"/>
          <w:sz w:val="18"/>
          <w:szCs w:val="18"/>
          <w:color w:val="auto"/>
        </w:rPr>
        <w:t>None.</w:t>
      </w:r>
    </w:p>
    <w:p>
      <w:pPr>
        <w:spacing w:after="0" w:line="153" w:lineRule="exact"/>
        <w:rPr>
          <w:rFonts w:ascii="Times New Roman" w:cs="Times New Roman" w:eastAsia="Times New Roman" w:hAnsi="Times New Roman"/>
          <w:sz w:val="18"/>
          <w:szCs w:val="18"/>
          <w:b w:val="1"/>
          <w:bCs w:val="1"/>
          <w:color w:val="auto"/>
        </w:rPr>
      </w:pPr>
    </w:p>
    <w:p>
      <w:pPr>
        <w:ind w:left="520" w:right="6140" w:hanging="512"/>
        <w:spacing w:after="0" w:line="412" w:lineRule="auto"/>
        <w:tabs>
          <w:tab w:leader="none" w:pos="276"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Use of Proceeds from Initial Public Offering of Common Stock </w:t>
      </w:r>
      <w:r>
        <w:rPr>
          <w:rFonts w:ascii="Times New Roman" w:cs="Times New Roman" w:eastAsia="Times New Roman" w:hAnsi="Times New Roman"/>
          <w:sz w:val="18"/>
          <w:szCs w:val="18"/>
          <w:color w:val="auto"/>
        </w:rPr>
        <w:t>Not applicable.</w:t>
      </w:r>
    </w:p>
    <w:p>
      <w:pPr>
        <w:spacing w:after="0" w:line="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6" w:name="page67"/>
    <w:bookmarkEnd w:id="66"/>
    <w:p>
      <w:pPr>
        <w:ind w:left="520" w:right="8140" w:hanging="512"/>
        <w:spacing w:after="0" w:line="412" w:lineRule="auto"/>
        <w:tabs>
          <w:tab w:leader="none" w:pos="256"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Issuer Purchases of Equity Securities </w:t>
      </w:r>
      <w:r>
        <w:rPr>
          <w:rFonts w:ascii="Times New Roman" w:cs="Times New Roman" w:eastAsia="Times New Roman" w:hAnsi="Times New Roman"/>
          <w:sz w:val="18"/>
          <w:szCs w:val="18"/>
          <w:color w:val="auto"/>
        </w:rPr>
        <w:t>None.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 10b5-1 Trading Plans</w:t>
      </w:r>
    </w:p>
    <w:p>
      <w:pPr>
        <w:spacing w:after="0" w:line="119"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During the fiscal quarter ended March 31, 2025, none of our officers or directors, as defined in Rule 16a-1(f), adopted, modified or terminated a "Rule 10b5-1 trading arrangement" or a "non-Rule 10b5-1 trading arrangement," as those terms are defined in Item 408 of Regulation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 Financial Statement Schedules.</w:t>
      </w:r>
    </w:p>
    <w:p>
      <w:pPr>
        <w:spacing w:after="0" w:line="12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7"/>
          <w:szCs w:val="17"/>
          <w:color w:val="auto"/>
        </w:rPr>
        <w:t>Exhibits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6360" w:type="dxa"/>
            <w:vAlign w:val="bottom"/>
            <w:gridSpan w:val="4"/>
            <w:vMerge w:val="restart"/>
          </w:tcPr>
          <w:p>
            <w:pPr>
              <w:ind w:left="10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1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3640" w:type="dxa"/>
            <w:vAlign w:val="bottom"/>
            <w:tcBorders>
              <w:bottom w:val="single" w:sz="8" w:color="auto"/>
            </w:tcBorders>
          </w:tcPr>
          <w:p>
            <w:pPr>
              <w:spacing w:after="0"/>
              <w:rPr>
                <w:sz w:val="15"/>
                <w:szCs w:val="15"/>
                <w:color w:val="auto"/>
              </w:rPr>
            </w:pPr>
          </w:p>
        </w:tc>
        <w:tc>
          <w:tcPr>
            <w:tcW w:w="6360" w:type="dxa"/>
            <w:vAlign w:val="bottom"/>
            <w:tcBorders>
              <w:bottom w:val="single" w:sz="8" w:color="auto"/>
            </w:tcBorders>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140" w:type="dxa"/>
            <w:vAlign w:val="bottom"/>
          </w:tcPr>
          <w:p>
            <w:pPr>
              <w:jc w:val="right"/>
              <w:ind w:right="819"/>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24"/>
                <w:szCs w:val="24"/>
                <w:color w:val="auto"/>
              </w:rPr>
            </w:pPr>
          </w:p>
        </w:tc>
        <w:tc>
          <w:tcPr>
            <w:tcW w:w="9880" w:type="dxa"/>
            <w:vAlign w:val="bottom"/>
            <w:tcBorders>
              <w:bottom w:val="single" w:sz="8" w:color="0563C1"/>
            </w:tcBorders>
            <w:gridSpan w:val="4"/>
          </w:tcPr>
          <w:p>
            <w:pPr>
              <w:ind w:left="20"/>
              <w:spacing w:after="0"/>
              <w:rPr>
                <w:rFonts w:ascii="Times New Roman" w:cs="Times New Roman" w:eastAsia="Times New Roman" w:hAnsi="Times New Roman"/>
                <w:sz w:val="18"/>
                <w:szCs w:val="18"/>
                <w:color w:val="0563C1"/>
              </w:rPr>
            </w:pPr>
            <w:hyperlink r:id="rId206">
              <w:r>
                <w:rPr>
                  <w:rFonts w:ascii="Times New Roman" w:cs="Times New Roman" w:eastAsia="Times New Roman" w:hAnsi="Times New Roman"/>
                  <w:sz w:val="18"/>
                  <w:szCs w:val="18"/>
                  <w:color w:val="0563C1"/>
                </w:rPr>
                <w:t>Amended and Restated Certificate of Incorporation (incorporated by reference to Exhibit 3.1 to the Registrant’s Current Report on Form</w:t>
              </w:r>
            </w:hyperlink>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0" w:type="dxa"/>
            <w:vAlign w:val="bottom"/>
            <w:tcBorders>
              <w:bottom w:val="single" w:sz="8" w:color="0563C1"/>
            </w:tcBorders>
            <w:gridSpan w:val="2"/>
          </w:tcPr>
          <w:p>
            <w:pPr>
              <w:ind w:left="20"/>
              <w:spacing w:after="0" w:line="196" w:lineRule="exact"/>
              <w:rPr>
                <w:rFonts w:ascii="Times New Roman" w:cs="Times New Roman" w:eastAsia="Times New Roman" w:hAnsi="Times New Roman"/>
                <w:sz w:val="18"/>
                <w:szCs w:val="18"/>
                <w:color w:val="0563C1"/>
                <w:w w:val="99"/>
              </w:rPr>
            </w:pPr>
            <w:hyperlink r:id="rId206">
              <w:r>
                <w:rPr>
                  <w:rFonts w:ascii="Times New Roman" w:cs="Times New Roman" w:eastAsia="Times New Roman" w:hAnsi="Times New Roman"/>
                  <w:sz w:val="18"/>
                  <w:szCs w:val="18"/>
                  <w:color w:val="0563C1"/>
                  <w:w w:val="99"/>
                </w:rPr>
                <w:t>8-K (File No. 001-39980), filed with the SEC on February 11, 2021).</w:t>
              </w:r>
            </w:hyperlink>
          </w:p>
        </w:tc>
        <w:tc>
          <w:tcPr>
            <w:tcW w:w="50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40" w:type="dxa"/>
            <w:vAlign w:val="bottom"/>
          </w:tcPr>
          <w:p>
            <w:pPr>
              <w:jc w:val="right"/>
              <w:ind w:right="819"/>
              <w:spacing w:after="0"/>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Pr>
          <w:p>
            <w:pPr>
              <w:spacing w:after="0"/>
              <w:rPr>
                <w:sz w:val="24"/>
                <w:szCs w:val="24"/>
                <w:color w:val="auto"/>
              </w:rPr>
            </w:pPr>
          </w:p>
        </w:tc>
        <w:tc>
          <w:tcPr>
            <w:tcW w:w="9800" w:type="dxa"/>
            <w:vAlign w:val="bottom"/>
            <w:tcBorders>
              <w:bottom w:val="single" w:sz="8" w:color="0563C1"/>
            </w:tcBorders>
            <w:gridSpan w:val="3"/>
          </w:tcPr>
          <w:p>
            <w:pPr>
              <w:ind w:left="20"/>
              <w:spacing w:after="0"/>
              <w:rPr>
                <w:rFonts w:ascii="Times New Roman" w:cs="Times New Roman" w:eastAsia="Times New Roman" w:hAnsi="Times New Roman"/>
                <w:sz w:val="18"/>
                <w:szCs w:val="18"/>
                <w:color w:val="0563C1"/>
                <w:w w:val="99"/>
              </w:rPr>
            </w:pPr>
            <w:hyperlink r:id="rId207">
              <w:r>
                <w:rPr>
                  <w:rFonts w:ascii="Times New Roman" w:cs="Times New Roman" w:eastAsia="Times New Roman" w:hAnsi="Times New Roman"/>
                  <w:sz w:val="18"/>
                  <w:szCs w:val="18"/>
                  <w:color w:val="0563C1"/>
                  <w:w w:val="99"/>
                </w:rPr>
                <w:t>Amended and Restated Bylaws (incorporated by reference to Exhibit 3.1 to the Registrant’s Current Report on Form 8-K (File No. 001-</w:t>
              </w:r>
            </w:hyperlink>
          </w:p>
        </w:tc>
        <w:tc>
          <w:tcPr>
            <w:tcW w:w="2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5"/>
          </w:tcPr>
          <w:p>
            <w:pPr>
              <w:ind w:left="20"/>
              <w:spacing w:after="0" w:line="196" w:lineRule="exact"/>
              <w:rPr>
                <w:rFonts w:ascii="Times New Roman" w:cs="Times New Roman" w:eastAsia="Times New Roman" w:hAnsi="Times New Roman"/>
                <w:sz w:val="18"/>
                <w:szCs w:val="18"/>
                <w:color w:val="0563C1"/>
              </w:rPr>
            </w:pPr>
            <w:hyperlink r:id="rId207">
              <w:r>
                <w:rPr>
                  <w:rFonts w:ascii="Times New Roman" w:cs="Times New Roman" w:eastAsia="Times New Roman" w:hAnsi="Times New Roman"/>
                  <w:sz w:val="18"/>
                  <w:szCs w:val="18"/>
                  <w:color w:val="0563C1"/>
                </w:rPr>
                <w:t>39980)</w:t>
              </w:r>
              <w:r>
                <w:rPr>
                  <w:rFonts w:ascii="Times New Roman" w:cs="Times New Roman" w:eastAsia="Times New Roman" w:hAnsi="Times New Roman"/>
                  <w:sz w:val="18"/>
                  <w:szCs w:val="18"/>
                  <w:u w:val="single" w:color="auto"/>
                  <w:color w:val="0563C1"/>
                </w:rPr>
                <w:t>,</w:t>
              </w:r>
              <w:r>
                <w:rPr>
                  <w:rFonts w:ascii="Times New Roman" w:cs="Times New Roman" w:eastAsia="Times New Roman" w:hAnsi="Times New Roman"/>
                  <w:sz w:val="18"/>
                  <w:szCs w:val="18"/>
                  <w:color w:val="0563C1"/>
                </w:rPr>
                <w:t xml:space="preserve"> filed with the SEC on December 9, 2022).</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40" w:type="dxa"/>
            <w:vAlign w:val="bottom"/>
            <w:shd w:val="clear" w:color="auto" w:fill="0563C1"/>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sectPr>
          <w:pgSz w:w="11900" w:h="16838" w:orient="portrait"/>
          <w:cols w:equalWidth="0" w:num="1">
            <w:col w:w="11240"/>
          </w:cols>
          <w:pgMar w:left="320" w:top="1305"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3.3</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31.1*</w:t>
      </w:r>
    </w:p>
    <w:p>
      <w:pPr>
        <w:spacing w:after="0" w:line="20" w:lineRule="exact"/>
        <w:rPr>
          <w:sz w:val="20"/>
          <w:szCs w:val="20"/>
          <w:color w:val="auto"/>
        </w:rPr>
      </w:pPr>
      <w:r>
        <w:rPr>
          <w:sz w:val="20"/>
          <w:szCs w:val="20"/>
          <w:color w:val="auto"/>
        </w:rPr>
        <w:br w:type="column"/>
      </w:r>
    </w:p>
    <w:p>
      <w:pPr>
        <w:ind w:right="160"/>
        <w:spacing w:after="0" w:line="257" w:lineRule="auto"/>
        <w:rPr>
          <w:rFonts w:ascii="Times New Roman" w:cs="Times New Roman" w:eastAsia="Times New Roman" w:hAnsi="Times New Roman"/>
          <w:sz w:val="18"/>
          <w:szCs w:val="18"/>
          <w:u w:val="single" w:color="auto"/>
          <w:color w:val="0563C1"/>
        </w:rPr>
      </w:pPr>
      <w:hyperlink r:id="rId208">
        <w:r>
          <w:rPr>
            <w:rFonts w:ascii="Times New Roman" w:cs="Times New Roman" w:eastAsia="Times New Roman" w:hAnsi="Times New Roman"/>
            <w:sz w:val="18"/>
            <w:szCs w:val="18"/>
            <w:u w:val="single" w:color="auto"/>
            <w:color w:val="0563C1"/>
          </w:rPr>
          <w:t>Certificate of Designations of the Series A Junior Participating Cumulative Preferred Stock of the Registrant, dated March 7, 2023</w:t>
        </w:r>
      </w:hyperlink>
      <w:r>
        <w:rPr>
          <w:rFonts w:ascii="Times New Roman" w:cs="Times New Roman" w:eastAsia="Times New Roman" w:hAnsi="Times New Roman"/>
          <w:sz w:val="18"/>
          <w:szCs w:val="18"/>
          <w:u w:val="single" w:color="auto"/>
          <w:color w:val="0563C1"/>
        </w:rPr>
        <w:t xml:space="preserve"> </w:t>
      </w:r>
      <w:hyperlink r:id="rId208">
        <w:r>
          <w:rPr>
            <w:rFonts w:ascii="Times New Roman" w:cs="Times New Roman" w:eastAsia="Times New Roman" w:hAnsi="Times New Roman"/>
            <w:sz w:val="18"/>
            <w:szCs w:val="18"/>
            <w:u w:val="single" w:color="auto"/>
            <w:color w:val="0563C1"/>
          </w:rPr>
          <w:t>(incorporated by reference to Exhibit 3.1 to the Registrant’s Registration Statement on Form 8-A, filed with the Securities and Exchange</w:t>
        </w:r>
      </w:hyperlink>
      <w:r>
        <w:rPr>
          <w:rFonts w:ascii="Times New Roman" w:cs="Times New Roman" w:eastAsia="Times New Roman" w:hAnsi="Times New Roman"/>
          <w:sz w:val="18"/>
          <w:szCs w:val="18"/>
          <w:u w:val="single" w:color="auto"/>
          <w:color w:val="0563C1"/>
        </w:rPr>
        <w:t xml:space="preserve"> </w:t>
      </w:r>
      <w:hyperlink r:id="rId208">
        <w:r>
          <w:rPr>
            <w:rFonts w:ascii="Times New Roman" w:cs="Times New Roman" w:eastAsia="Times New Roman" w:hAnsi="Times New Roman"/>
            <w:sz w:val="18"/>
            <w:szCs w:val="18"/>
            <w:u w:val="single" w:color="auto"/>
            <w:color w:val="0563C1"/>
          </w:rPr>
          <w:t>Commission on March 7, 2023, File No. 005-92222)</w:t>
        </w:r>
      </w:hyperlink>
    </w:p>
    <w:p>
      <w:pPr>
        <w:spacing w:after="0" w:line="20" w:lineRule="exact"/>
        <w:rPr>
          <w:rFonts w:ascii="Times New Roman" w:cs="Times New Roman" w:eastAsia="Times New Roman" w:hAnsi="Times New Roman"/>
          <w:sz w:val="18"/>
          <w:szCs w:val="18"/>
          <w:u w:val="single" w:color="auto"/>
          <w:color w:val="0563C1"/>
        </w:rPr>
      </w:pPr>
      <w:r>
        <w:rPr>
          <w:rFonts w:ascii="Times New Roman" w:cs="Times New Roman" w:eastAsia="Times New Roman" w:hAnsi="Times New Roman"/>
          <w:sz w:val="18"/>
          <w:szCs w:val="18"/>
          <w:u w:val="single" w:color="auto"/>
          <w:color w:val="0563C1"/>
        </w:rPr>
        <w:drawing>
          <wp:anchor simplePos="0" relativeHeight="251657728" behindDoc="1" locked="0" layoutInCell="0" allowOverlap="1">
            <wp:simplePos x="0" y="0"/>
            <wp:positionH relativeFrom="column">
              <wp:posOffset>-5715</wp:posOffset>
            </wp:positionH>
            <wp:positionV relativeFrom="paragraph">
              <wp:posOffset>-298450</wp:posOffset>
            </wp:positionV>
            <wp:extent cx="599376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9">
                      <a:extLst>
                        <a:ext uri="{28A0092B-C50C-407E-A947-70E740481C1C}"/>
                      </a:extLst>
                    </a:blip>
                    <a:srcRect/>
                    <a:stretch>
                      <a:fillRect/>
                    </a:stretch>
                  </pic:blipFill>
                  <pic:spPr bwMode="auto">
                    <a:xfrm>
                      <a:off x="0" y="0"/>
                      <a:ext cx="599376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-161290</wp:posOffset>
            </wp:positionV>
            <wp:extent cx="627570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0">
                      <a:extLst>
                        <a:ext uri="{28A0092B-C50C-407E-A947-70E740481C1C}"/>
                      </a:extLst>
                    </a:blip>
                    <a:srcRect/>
                    <a:stretch>
                      <a:fillRect/>
                    </a:stretch>
                  </pic:blipFill>
                  <pic:spPr bwMode="auto">
                    <a:xfrm>
                      <a:off x="0" y="0"/>
                      <a:ext cx="627570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-24130</wp:posOffset>
            </wp:positionV>
            <wp:extent cx="241173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1">
                      <a:extLst>
                        <a:ext uri="{28A0092B-C50C-407E-A947-70E740481C1C}"/>
                      </a:extLst>
                    </a:blip>
                    <a:srcRect/>
                    <a:stretch>
                      <a:fillRect/>
                    </a:stretch>
                  </pic:blipFill>
                  <pic:spPr bwMode="auto">
                    <a:xfrm>
                      <a:off x="0" y="0"/>
                      <a:ext cx="2411730" cy="8890"/>
                    </a:xfrm>
                    <a:prstGeom prst="rect">
                      <a:avLst/>
                    </a:prstGeom>
                    <a:noFill/>
                  </pic:spPr>
                </pic:pic>
              </a:graphicData>
            </a:graphic>
          </wp:anchor>
        </w:drawing>
      </w:r>
    </w:p>
    <w:p>
      <w:pPr>
        <w:ind w:right="120"/>
        <w:spacing w:after="0" w:line="260" w:lineRule="auto"/>
        <w:rPr>
          <w:rFonts w:ascii="Times New Roman" w:cs="Times New Roman" w:eastAsia="Times New Roman" w:hAnsi="Times New Roman"/>
          <w:sz w:val="18"/>
          <w:szCs w:val="18"/>
          <w:u w:val="single" w:color="auto"/>
          <w:color w:val="0563C1"/>
        </w:rPr>
      </w:pPr>
      <w:hyperlink r:id="rId212">
        <w:r>
          <w:rPr>
            <w:rFonts w:ascii="Times New Roman" w:cs="Times New Roman" w:eastAsia="Times New Roman" w:hAnsi="Times New Roman"/>
            <w:sz w:val="18"/>
            <w:szCs w:val="18"/>
            <w:u w:val="single" w:color="auto"/>
            <w:color w:val="0563C1"/>
          </w:rPr>
          <w:t>Certificate of Elimination of the Series A Junior Participating Cumulative Preferred Stock of the Registrant (incorporated by reference to</w:t>
        </w:r>
      </w:hyperlink>
      <w:r>
        <w:rPr>
          <w:rFonts w:ascii="Times New Roman" w:cs="Times New Roman" w:eastAsia="Times New Roman" w:hAnsi="Times New Roman"/>
          <w:sz w:val="18"/>
          <w:szCs w:val="18"/>
          <w:u w:val="single" w:color="auto"/>
          <w:color w:val="0563C1"/>
        </w:rPr>
        <w:t xml:space="preserve"> </w:t>
      </w:r>
      <w:hyperlink r:id="rId212">
        <w:r>
          <w:rPr>
            <w:rFonts w:ascii="Times New Roman" w:cs="Times New Roman" w:eastAsia="Times New Roman" w:hAnsi="Times New Roman"/>
            <w:sz w:val="18"/>
            <w:szCs w:val="18"/>
            <w:u w:val="single" w:color="auto"/>
            <w:color w:val="0563C1"/>
          </w:rPr>
          <w:t>Exhibit 3.4 to the Registrant’s Annual Report on Form 10-K (File No. 001-39980), filed with the SEC on March 28,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6291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3">
                      <a:extLst>
                        <a:ext uri="{28A0092B-C50C-407E-A947-70E740481C1C}"/>
                      </a:extLst>
                    </a:blip>
                    <a:srcRect/>
                    <a:stretch>
                      <a:fillRect/>
                    </a:stretch>
                  </pic:blipFill>
                  <pic:spPr bwMode="auto">
                    <a:xfrm>
                      <a:off x="0" y="0"/>
                      <a:ext cx="629158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-35560</wp:posOffset>
            </wp:positionV>
            <wp:extent cx="563245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4">
                      <a:extLst>
                        <a:ext uri="{28A0092B-C50C-407E-A947-70E740481C1C}"/>
                      </a:extLst>
                    </a:blip>
                    <a:srcRect/>
                    <a:stretch>
                      <a:fillRect/>
                    </a:stretch>
                  </pic:blipFill>
                  <pic:spPr bwMode="auto">
                    <a:xfrm>
                      <a:off x="0" y="0"/>
                      <a:ext cx="5632450" cy="8255"/>
                    </a:xfrm>
                    <a:prstGeom prst="rect">
                      <a:avLst/>
                    </a:prstGeom>
                    <a:noFill/>
                  </pic:spPr>
                </pic:pic>
              </a:graphicData>
            </a:graphic>
          </wp:anchor>
        </w:drawing>
      </w:r>
    </w:p>
    <w:p>
      <w:pPr>
        <w:spacing w:after="0" w:line="53"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u w:val="single" w:color="auto"/>
          <w:color w:val="0563C1"/>
        </w:rPr>
        <w:t>Certification of Principal Executive Officer Pursuant to Rules 13a-14(a) and 15d-14(a) under the Securities Exchange Act of 1934, as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-185420</wp:posOffset>
            </wp:positionV>
            <wp:extent cx="613600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5">
                      <a:extLst>
                        <a:ext uri="{28A0092B-C50C-407E-A947-70E740481C1C}"/>
                      </a:extLst>
                    </a:blip>
                    <a:srcRect/>
                    <a:stretch>
                      <a:fillRect/>
                    </a:stretch>
                  </pic:blipFill>
                  <pic:spPr bwMode="auto">
                    <a:xfrm>
                      <a:off x="0" y="0"/>
                      <a:ext cx="613600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-48260</wp:posOffset>
            </wp:positionV>
            <wp:extent cx="316357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6">
                      <a:extLst>
                        <a:ext uri="{28A0092B-C50C-407E-A947-70E740481C1C}"/>
                      </a:extLst>
                    </a:blip>
                    <a:srcRect/>
                    <a:stretch>
                      <a:fillRect/>
                    </a:stretch>
                  </pic:blipFill>
                  <pic:spPr bwMode="auto">
                    <a:xfrm>
                      <a:off x="0" y="0"/>
                      <a:ext cx="3163570" cy="8255"/>
                    </a:xfrm>
                    <a:prstGeom prst="rect">
                      <a:avLst/>
                    </a:prstGeom>
                    <a:noFill/>
                  </pic:spPr>
                </pic:pic>
              </a:graphicData>
            </a:graphic>
          </wp:anchor>
        </w:drawing>
      </w:r>
    </w:p>
    <w:p>
      <w:pPr>
        <w:spacing w:after="0" w:line="40" w:lineRule="exact"/>
        <w:rPr>
          <w:sz w:val="20"/>
          <w:szCs w:val="20"/>
          <w:color w:val="auto"/>
        </w:rPr>
      </w:pPr>
    </w:p>
    <w:p>
      <w:pPr>
        <w:sectPr>
          <w:pgSz w:w="11900" w:h="16838" w:orient="portrait"/>
          <w:cols w:equalWidth="0" w:num="2">
            <w:col w:w="540" w:space="720"/>
            <w:col w:w="9980"/>
          </w:cols>
          <w:pgMar w:left="320" w:top="1305"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2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8"/>
              </w:rPr>
              <w:t>31.2*</w:t>
            </w:r>
          </w:p>
        </w:tc>
        <w:tc>
          <w:tcPr>
            <w:tcW w:w="9620" w:type="dxa"/>
            <w:vAlign w:val="bottom"/>
            <w:tcBorders>
              <w:bottom w:val="single" w:sz="8" w:color="0563C1"/>
            </w:tcBorders>
            <w:gridSpan w:val="2"/>
          </w:tcPr>
          <w:p>
            <w:pPr>
              <w:ind w:left="20"/>
              <w:spacing w:after="0"/>
              <w:rPr>
                <w:sz w:val="20"/>
                <w:szCs w:val="20"/>
                <w:color w:val="auto"/>
              </w:rPr>
            </w:pPr>
            <w:r>
              <w:rPr>
                <w:rFonts w:ascii="Times New Roman" w:cs="Times New Roman" w:eastAsia="Times New Roman" w:hAnsi="Times New Roman"/>
                <w:sz w:val="18"/>
                <w:szCs w:val="18"/>
                <w:color w:val="0563C1"/>
              </w:rPr>
              <w:t>Certification of Principal Financial Officer Pursuant to Rules 13a-14(a) and 15d-14(a) under the Securities Exchange Act of 1934, as</w:t>
            </w:r>
          </w:p>
        </w:tc>
      </w:tr>
      <w:tr>
        <w:trPr>
          <w:trHeight w:val="196"/>
        </w:trPr>
        <w:tc>
          <w:tcPr>
            <w:tcW w:w="1240" w:type="dxa"/>
            <w:vAlign w:val="bottom"/>
          </w:tcPr>
          <w:p>
            <w:pPr>
              <w:spacing w:after="0"/>
              <w:rPr>
                <w:sz w:val="17"/>
                <w:szCs w:val="17"/>
                <w:color w:val="auto"/>
              </w:rPr>
            </w:pPr>
          </w:p>
        </w:tc>
        <w:tc>
          <w:tcPr>
            <w:tcW w:w="5000" w:type="dxa"/>
            <w:vAlign w:val="bottom"/>
            <w:tcBorders>
              <w:bottom w:val="single" w:sz="8" w:color="0563C1"/>
            </w:tcBorders>
          </w:tcPr>
          <w:p>
            <w:pPr>
              <w:ind w:left="20"/>
              <w:spacing w:after="0" w:line="196" w:lineRule="exact"/>
              <w:rPr>
                <w:sz w:val="20"/>
                <w:szCs w:val="20"/>
                <w:color w:val="auto"/>
              </w:rPr>
            </w:pPr>
            <w:r>
              <w:rPr>
                <w:rFonts w:ascii="Times New Roman" w:cs="Times New Roman" w:eastAsia="Times New Roman" w:hAnsi="Times New Roman"/>
                <w:sz w:val="18"/>
                <w:szCs w:val="18"/>
                <w:color w:val="0563C1"/>
                <w:w w:val="99"/>
              </w:rPr>
              <w:t>Adopted Pursuant to Section 302 of the Sarbanes-Oxley Act of 2002.</w:t>
            </w:r>
          </w:p>
        </w:tc>
        <w:tc>
          <w:tcPr>
            <w:tcW w:w="4620" w:type="dxa"/>
            <w:vAlign w:val="bottom"/>
          </w:tcPr>
          <w:p>
            <w:pPr>
              <w:spacing w:after="0"/>
              <w:rPr>
                <w:sz w:val="17"/>
                <w:szCs w:val="17"/>
                <w:color w:val="auto"/>
              </w:rPr>
            </w:pPr>
          </w:p>
        </w:tc>
      </w:tr>
    </w:tbl>
    <w:p>
      <w:pPr>
        <w:spacing w:after="0" w:line="117" w:lineRule="exact"/>
        <w:rPr>
          <w:sz w:val="20"/>
          <w:szCs w:val="20"/>
          <w:color w:val="auto"/>
        </w:rPr>
      </w:pPr>
    </w:p>
    <w:p>
      <w:pPr>
        <w:sectPr>
          <w:pgSz w:w="11900" w:h="16838" w:orient="portrait"/>
          <w:cols w:equalWidth="0" w:num="1">
            <w:col w:w="11240"/>
          </w:cols>
          <w:pgMar w:left="320" w:top="1305"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32.1**</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101.INS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101.SCH</w:t>
      </w:r>
    </w:p>
    <w:p>
      <w:pPr>
        <w:spacing w:after="0" w:line="20" w:lineRule="exact"/>
        <w:rPr>
          <w:sz w:val="20"/>
          <w:szCs w:val="20"/>
          <w:color w:val="auto"/>
        </w:rPr>
      </w:pPr>
      <w:r>
        <w:rPr>
          <w:sz w:val="20"/>
          <w:szCs w:val="20"/>
          <w:color w:val="auto"/>
        </w:rPr>
        <w:br w:type="column"/>
      </w:r>
    </w:p>
    <w:p>
      <w:pPr>
        <w:ind w:right="220"/>
        <w:spacing w:after="0" w:line="261" w:lineRule="auto"/>
        <w:rPr>
          <w:sz w:val="20"/>
          <w:szCs w:val="20"/>
          <w:color w:val="auto"/>
        </w:rPr>
      </w:pPr>
      <w:r>
        <w:rPr>
          <w:rFonts w:ascii="Times New Roman" w:cs="Times New Roman" w:eastAsia="Times New Roman" w:hAnsi="Times New Roman"/>
          <w:sz w:val="18"/>
          <w:szCs w:val="18"/>
          <w:u w:val="single" w:color="auto"/>
          <w:color w:val="0563C1"/>
        </w:rPr>
        <w:t>Certification of Principal Executive Officer and Principal Financial Officer Pursuant to 18 U.S.C. Section 1350, as Adopted Pursuant to Section 906 of the Sarbanes-Oxley Act of 2002</w:t>
      </w:r>
      <w:r>
        <w:rPr>
          <w:rFonts w:ascii="Times New Roman" w:cs="Times New Roman" w:eastAsia="Times New Roman" w:hAnsi="Times New Roman"/>
          <w:sz w:val="18"/>
          <w:szCs w:val="18"/>
          <w:color w:val="0563C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-161925</wp:posOffset>
            </wp:positionV>
            <wp:extent cx="623506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7">
                      <a:extLst>
                        <a:ext uri="{28A0092B-C50C-407E-A947-70E740481C1C}"/>
                      </a:extLst>
                    </a:blip>
                    <a:srcRect/>
                    <a:stretch>
                      <a:fillRect/>
                    </a:stretch>
                  </pic:blipFill>
                  <pic:spPr bwMode="auto">
                    <a:xfrm>
                      <a:off x="0" y="0"/>
                      <a:ext cx="623506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-24765</wp:posOffset>
            </wp:positionV>
            <wp:extent cx="216725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8">
                      <a:extLst>
                        <a:ext uri="{28A0092B-C50C-407E-A947-70E740481C1C}"/>
                      </a:extLst>
                    </a:blip>
                    <a:srcRect/>
                    <a:stretch>
                      <a:fillRect/>
                    </a:stretch>
                  </pic:blipFill>
                  <pic:spPr bwMode="auto">
                    <a:xfrm>
                      <a:off x="0" y="0"/>
                      <a:ext cx="2167255" cy="8255"/>
                    </a:xfrm>
                    <a:prstGeom prst="rect">
                      <a:avLst/>
                    </a:prstGeom>
                    <a:noFill/>
                  </pic:spPr>
                </pic:pic>
              </a:graphicData>
            </a:graphic>
          </wp:anchor>
        </w:drawing>
      </w:r>
    </w:p>
    <w:p>
      <w:pPr>
        <w:ind w:right="480"/>
        <w:spacing w:after="0" w:line="260" w:lineRule="auto"/>
        <w:rPr>
          <w:sz w:val="20"/>
          <w:szCs w:val="20"/>
          <w:color w:val="auto"/>
        </w:rPr>
      </w:pPr>
      <w:r>
        <w:rPr>
          <w:rFonts w:ascii="Times New Roman" w:cs="Times New Roman" w:eastAsia="Times New Roman" w:hAnsi="Times New Roman"/>
          <w:sz w:val="18"/>
          <w:szCs w:val="18"/>
          <w:color w:val="auto"/>
        </w:rPr>
        <w:t>XBRL Instance Document (the instance document does not appear in the Interactive Data File because its XBRL tags are embedded within the Inline XBRL document).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p>
      <w:pPr>
        <w:spacing w:after="0" w:line="117" w:lineRule="exact"/>
        <w:rPr>
          <w:sz w:val="20"/>
          <w:szCs w:val="20"/>
          <w:color w:val="auto"/>
        </w:rPr>
      </w:pPr>
    </w:p>
    <w:p>
      <w:pPr>
        <w:sectPr>
          <w:pgSz w:w="11900" w:h="16838" w:orient="portrait"/>
          <w:cols w:equalWidth="0" w:num="2">
            <w:col w:w="680" w:space="580"/>
            <w:col w:w="9980"/>
          </w:cols>
          <w:pgMar w:left="320" w:top="1305" w:right="339" w:bottom="1440" w:gutter="0" w:footer="0" w:header="0"/>
          <w:type w:val="continuous"/>
        </w:sectPr>
      </w:pPr>
    </w:p>
    <w:p>
      <w:pPr>
        <w:ind w:right="4220" w:firstLine="8"/>
        <w:spacing w:after="0" w:line="347" w:lineRule="auto"/>
        <w:tabs>
          <w:tab w:leader="none" w:pos="1242"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 Filed herewith.</w:t>
      </w:r>
    </w:p>
    <w:p>
      <w:pPr>
        <w:ind w:left="520" w:right="20" w:hanging="512"/>
        <w:spacing w:after="0" w:line="250" w:lineRule="auto"/>
        <w:tabs>
          <w:tab w:leader="none" w:pos="37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being furnished solely to accompany this quarterly report on Form 10-Q pursuant to 18 U.S.C. Section 1350, and is not being filed for purposes of Section 18 of the Securities Exchange Act of 1934, as amended, and is not to be incorporated by reference into any filing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95123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9">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ind w:left="520"/>
        <w:spacing w:after="0"/>
        <w:rPr>
          <w:sz w:val="20"/>
          <w:szCs w:val="20"/>
          <w:color w:val="auto"/>
        </w:rPr>
      </w:pPr>
      <w:r>
        <w:rPr>
          <w:rFonts w:ascii="Times New Roman" w:cs="Times New Roman" w:eastAsia="Times New Roman" w:hAnsi="Times New Roman"/>
          <w:sz w:val="18"/>
          <w:szCs w:val="18"/>
          <w:color w:val="auto"/>
        </w:rPr>
        <w:t>Registrant, whether made before or after the date hereof, regardless of any general incorporation language in such filing.</w:t>
      </w:r>
    </w:p>
    <w:p>
      <w:pPr>
        <w:spacing w:after="0" w:line="9" w:lineRule="exact"/>
        <w:rPr>
          <w:sz w:val="20"/>
          <w:szCs w:val="20"/>
          <w:color w:val="auto"/>
        </w:rPr>
      </w:pPr>
    </w:p>
    <w:p>
      <w:pPr>
        <w:ind w:left="460" w:hanging="452"/>
        <w:spacing w:after="0"/>
        <w:tabs>
          <w:tab w:leader="none" w:pos="4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type w:val="continuous"/>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766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Sensei Biotherapeutics, Inc.</w:t>
            </w: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May 6, 2025</w:t>
            </w:r>
          </w:p>
        </w:tc>
        <w:tc>
          <w:tcPr>
            <w:tcW w:w="250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John Celebi</w:t>
            </w:r>
          </w:p>
        </w:tc>
      </w:tr>
      <w:tr>
        <w:trPr>
          <w:trHeight w:val="187"/>
        </w:trPr>
        <w:tc>
          <w:tcPr>
            <w:tcW w:w="48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1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John Celebi</w:t>
            </w:r>
          </w:p>
        </w:tc>
      </w:tr>
      <w:tr>
        <w:trPr>
          <w:trHeight w:val="216"/>
        </w:trPr>
        <w:tc>
          <w:tcPr>
            <w:tcW w:w="4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President and Chief Executive Officer</w:t>
            </w:r>
          </w:p>
        </w:tc>
      </w:tr>
      <w:tr>
        <w:trPr>
          <w:trHeight w:val="238"/>
        </w:trPr>
        <w:tc>
          <w:tcPr>
            <w:tcW w:w="4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Executive Officer</w:t>
            </w: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May 6, 2025</w:t>
            </w:r>
          </w:p>
        </w:tc>
        <w:tc>
          <w:tcPr>
            <w:tcW w:w="250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Josiah Craver</w:t>
            </w:r>
          </w:p>
        </w:tc>
      </w:tr>
      <w:tr>
        <w:trPr>
          <w:trHeight w:val="187"/>
        </w:trPr>
        <w:tc>
          <w:tcPr>
            <w:tcW w:w="48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1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Josiah Craver</w:t>
            </w:r>
          </w:p>
        </w:tc>
      </w:tr>
      <w:tr>
        <w:trPr>
          <w:trHeight w:val="238"/>
        </w:trPr>
        <w:tc>
          <w:tcPr>
            <w:tcW w:w="4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Senior Vice President of Finance</w:t>
            </w:r>
          </w:p>
        </w:tc>
      </w:tr>
    </w:tbl>
    <w:p>
      <w:pPr>
        <w:ind w:left="700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Celebi, certify that:</w:t>
      </w:r>
    </w:p>
    <w:p>
      <w:pPr>
        <w:spacing w:after="0" w:line="225" w:lineRule="exact"/>
        <w:rPr>
          <w:sz w:val="20"/>
          <w:szCs w:val="20"/>
          <w:color w:val="auto"/>
        </w:rPr>
      </w:pPr>
    </w:p>
    <w:p>
      <w:pPr>
        <w:ind w:left="520" w:hanging="512"/>
        <w:spacing w:after="0"/>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2025 of Sensei Biotherapeutics, Inc. (the “registrant”);</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2025</w:t>
            </w:r>
          </w:p>
        </w:tc>
        <w:tc>
          <w:tcPr>
            <w:tcW w:w="778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By:   /s/ John Celebi</w:t>
            </w:r>
          </w:p>
        </w:tc>
      </w:tr>
      <w:tr>
        <w:trPr>
          <w:trHeight w:val="191"/>
        </w:trPr>
        <w:tc>
          <w:tcPr>
            <w:tcW w:w="34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2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John Celebi</w:t>
            </w:r>
          </w:p>
        </w:tc>
      </w:tr>
      <w:tr>
        <w:trPr>
          <w:trHeight w:val="216"/>
        </w:trPr>
        <w:tc>
          <w:tcPr>
            <w:tcW w:w="3460" w:type="dxa"/>
            <w:vAlign w:val="bottom"/>
          </w:tcPr>
          <w:p>
            <w:pPr>
              <w:spacing w:after="0"/>
              <w:rPr>
                <w:sz w:val="18"/>
                <w:szCs w:val="18"/>
                <w:color w:val="auto"/>
              </w:rPr>
            </w:pPr>
          </w:p>
        </w:tc>
        <w:tc>
          <w:tcPr>
            <w:tcW w:w="7780" w:type="dxa"/>
            <w:vAlign w:val="bottom"/>
            <w:gridSpan w:val="2"/>
          </w:tcPr>
          <w:p>
            <w:pPr>
              <w:ind w:left="258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3460" w:type="dxa"/>
            <w:vAlign w:val="bottom"/>
          </w:tcPr>
          <w:p>
            <w:pPr>
              <w:spacing w:after="0"/>
              <w:rPr>
                <w:sz w:val="20"/>
                <w:szCs w:val="20"/>
                <w:color w:val="auto"/>
              </w:rPr>
            </w:pPr>
          </w:p>
        </w:tc>
        <w:tc>
          <w:tcPr>
            <w:tcW w:w="7780" w:type="dxa"/>
            <w:vAlign w:val="bottom"/>
            <w:gridSpan w:val="2"/>
          </w:tcPr>
          <w:p>
            <w:pPr>
              <w:ind w:left="258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627"/>
        </w:trPr>
        <w:tc>
          <w:tcPr>
            <w:tcW w:w="346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5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Josiah Craver, certify that:</w:t>
      </w:r>
    </w:p>
    <w:p>
      <w:pPr>
        <w:spacing w:after="0" w:line="225" w:lineRule="exact"/>
        <w:rPr>
          <w:sz w:val="20"/>
          <w:szCs w:val="20"/>
          <w:color w:val="auto"/>
        </w:rPr>
      </w:pPr>
    </w:p>
    <w:p>
      <w:pPr>
        <w:ind w:left="520" w:hanging="512"/>
        <w:spacing w:after="0"/>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2025 of Sensei Biotherapeutics, Inc. (the “registrant”);</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2025</w:t>
            </w:r>
          </w:p>
        </w:tc>
        <w:tc>
          <w:tcPr>
            <w:tcW w:w="794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By:   /s/ Josiah Craver</w:t>
            </w:r>
          </w:p>
        </w:tc>
      </w:tr>
      <w:tr>
        <w:trPr>
          <w:trHeight w:val="191"/>
        </w:trPr>
        <w:tc>
          <w:tcPr>
            <w:tcW w:w="33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5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Josiah Craver</w:t>
            </w:r>
          </w:p>
        </w:tc>
      </w:tr>
      <w:tr>
        <w:trPr>
          <w:trHeight w:val="216"/>
        </w:trPr>
        <w:tc>
          <w:tcPr>
            <w:tcW w:w="3300" w:type="dxa"/>
            <w:vAlign w:val="bottom"/>
          </w:tcPr>
          <w:p>
            <w:pPr>
              <w:spacing w:after="0"/>
              <w:rPr>
                <w:sz w:val="18"/>
                <w:szCs w:val="18"/>
                <w:color w:val="auto"/>
              </w:rPr>
            </w:pPr>
          </w:p>
        </w:tc>
        <w:tc>
          <w:tcPr>
            <w:tcW w:w="7940" w:type="dxa"/>
            <w:vAlign w:val="bottom"/>
            <w:gridSpan w:val="2"/>
          </w:tcPr>
          <w:p>
            <w:pPr>
              <w:ind w:left="2400"/>
              <w:spacing w:after="0"/>
              <w:rPr>
                <w:sz w:val="20"/>
                <w:szCs w:val="20"/>
                <w:color w:val="auto"/>
              </w:rPr>
            </w:pPr>
            <w:r>
              <w:rPr>
                <w:rFonts w:ascii="Times New Roman" w:cs="Times New Roman" w:eastAsia="Times New Roman" w:hAnsi="Times New Roman"/>
                <w:sz w:val="18"/>
                <w:szCs w:val="18"/>
                <w:color w:val="auto"/>
              </w:rPr>
              <w:t>Senior Vice President of Finance</w:t>
            </w:r>
          </w:p>
        </w:tc>
      </w:tr>
      <w:tr>
        <w:trPr>
          <w:trHeight w:val="234"/>
        </w:trPr>
        <w:tc>
          <w:tcPr>
            <w:tcW w:w="3300" w:type="dxa"/>
            <w:vAlign w:val="bottom"/>
          </w:tcPr>
          <w:p>
            <w:pPr>
              <w:spacing w:after="0"/>
              <w:rPr>
                <w:sz w:val="20"/>
                <w:szCs w:val="20"/>
                <w:color w:val="auto"/>
              </w:rPr>
            </w:pPr>
          </w:p>
        </w:tc>
        <w:tc>
          <w:tcPr>
            <w:tcW w:w="7940" w:type="dxa"/>
            <w:vAlign w:val="bottom"/>
            <w:gridSpan w:val="2"/>
          </w:tcPr>
          <w:p>
            <w:pPr>
              <w:ind w:left="2400"/>
              <w:spacing w:after="0"/>
              <w:rPr>
                <w:sz w:val="20"/>
                <w:szCs w:val="20"/>
                <w:color w:val="auto"/>
              </w:rPr>
            </w:pPr>
            <w:r>
              <w:rPr>
                <w:rFonts w:ascii="Times New Roman" w:cs="Times New Roman" w:eastAsia="Times New Roman" w:hAnsi="Times New Roman"/>
                <w:sz w:val="18"/>
                <w:szCs w:val="18"/>
                <w:color w:val="auto"/>
              </w:rPr>
              <w:t>(Principal Financial Officer and Accounting Officer)</w:t>
            </w:r>
          </w:p>
        </w:tc>
      </w:tr>
      <w:tr>
        <w:trPr>
          <w:trHeight w:val="1627"/>
        </w:trPr>
        <w:tc>
          <w:tcPr>
            <w:tcW w:w="330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5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EXECUTIVE OFFICER AND PRINCIPAL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firstLine="666"/>
        <w:spacing w:after="0" w:line="261"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John Celebi, President, Chief Executive Officer and Principal Financial Officer of Sensei Biotherapeutics, Inc. (the “Company”), and Josiah Craver, Senior Vice President of Finance of the Company, each hereby certifies that, to the best of his knowledge:</w:t>
      </w:r>
    </w:p>
    <w:p>
      <w:pPr>
        <w:spacing w:after="0" w:line="180" w:lineRule="exact"/>
        <w:rPr>
          <w:sz w:val="20"/>
          <w:szCs w:val="20"/>
          <w:color w:val="auto"/>
        </w:rPr>
      </w:pPr>
    </w:p>
    <w:p>
      <w:pPr>
        <w:ind w:left="1020" w:right="60" w:hanging="503"/>
        <w:spacing w:after="0" w:line="282"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quarter ended March 31, 2025, to which this Certification is attached as Exhibit 32.1 (the “Quarterly Report”), fully complies with the requirements of Section 13(a) or Section 15(d) of the Exchange Act; and</w:t>
      </w:r>
    </w:p>
    <w:p>
      <w:pPr>
        <w:spacing w:after="0" w:line="161"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undersigned has set his hand hereto as of the 6th day of May 2025.</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Celebi</w:t>
            </w:r>
          </w:p>
        </w:tc>
        <w:tc>
          <w:tcPr>
            <w:tcW w:w="2240" w:type="dxa"/>
            <w:vAlign w:val="bottom"/>
          </w:tcPr>
          <w:p>
            <w:pPr>
              <w:spacing w:after="0"/>
              <w:rPr>
                <w:sz w:val="20"/>
                <w:szCs w:val="20"/>
                <w:color w:val="auto"/>
              </w:rPr>
            </w:pP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Josiah Craver</w:t>
            </w:r>
          </w:p>
        </w:tc>
      </w:tr>
      <w:tr>
        <w:trPr>
          <w:trHeight w:val="191"/>
        </w:trPr>
        <w:tc>
          <w:tcPr>
            <w:tcW w:w="4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John Celebi</w:t>
            </w:r>
          </w:p>
        </w:tc>
        <w:tc>
          <w:tcPr>
            <w:tcW w:w="224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Josiah Craver</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22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of Finance</w:t>
            </w: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24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Accounting Officer)</w:t>
            </w:r>
          </w:p>
        </w:tc>
      </w:tr>
    </w:tbl>
    <w:p>
      <w:pPr>
        <w:spacing w:after="0" w:line="198" w:lineRule="exact"/>
        <w:rPr>
          <w:sz w:val="20"/>
          <w:szCs w:val="20"/>
          <w:color w:val="auto"/>
        </w:rPr>
      </w:pPr>
    </w:p>
    <w:p>
      <w:pPr>
        <w:ind w:right="40" w:firstLine="8"/>
        <w:spacing w:after="0" w:line="266" w:lineRule="auto"/>
        <w:tabs>
          <w:tab w:leader="none" w:pos="13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1" w:name="page72"/>
    <w:bookmarkEnd w:id="7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1."/>
      <w:numFmt w:val="decimal"/>
      <w:start w:val="1"/>
    </w:lvl>
  </w:abstractNum>
  <w:abstractNum w:abstractNumId="3">
    <w:nsid w:val="836C40E"/>
    <w:multiLevelType w:val="hybridMultilevel"/>
    <w:lvl w:ilvl="0">
      <w:lvlJc w:val="left"/>
      <w:lvlText w:val="%1."/>
      <w:numFmt w:val="decimal"/>
      <w:start w:val="2"/>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
      <w:numFmt w:val="bullet"/>
      <w:start w:val="1"/>
    </w:lvl>
    <w:lvl w:ilvl="1">
      <w:lvlJc w:val="left"/>
      <w:lvlText w:val="▪"/>
      <w:numFmt w:val="bullet"/>
      <w:start w:val="1"/>
    </w:lvl>
  </w:abstractNum>
  <w:abstractNum w:abstractNumId="7">
    <w:nsid w:val="1E7FF521"/>
    <w:multiLevelType w:val="hybridMultilevel"/>
    <w:lvl w:ilvl="0">
      <w:lvlJc w:val="left"/>
      <w:lvlText w:val="•"/>
      <w:numFmt w:val="bullet"/>
      <w:start w:val="1"/>
    </w:lvl>
    <w:lvl w:ilvl="1">
      <w:lvlJc w:val="left"/>
      <w:lvlText w:val="o"/>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
      <w:numFmt w:val="bullet"/>
      <w:start w:val="1"/>
    </w:lvl>
    <w:lvl w:ilvl="1">
      <w:lvlJc w:val="left"/>
      <w:lvlText w:val="•"/>
      <w:numFmt w:val="bullet"/>
      <w:start w:val="1"/>
    </w:lvl>
  </w:abstractNum>
  <w:abstractNum w:abstractNumId="17">
    <w:nsid w:val="440BADFC"/>
    <w:multiLevelType w:val="hybridMultilevel"/>
    <w:lvl w:ilvl="0">
      <w:lvlJc w:val="left"/>
      <w:lvlText w:val="•"/>
      <w:numFmt w:val="bullet"/>
      <w:start w:val="1"/>
    </w:lvl>
    <w:lvl w:ilvl="1">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
      <w:numFmt w:val="bullet"/>
      <w:start w:val="1"/>
    </w:lvl>
  </w:abstractNum>
  <w:abstractNum w:abstractNumId="32">
    <w:nsid w:val="2A487CB0"/>
    <w:multiLevelType w:val="hybridMultilevel"/>
    <w:lvl w:ilvl="0">
      <w:lvlJc w:val="left"/>
      <w:lvlText w:val="•"/>
      <w:numFmt w:val="bullet"/>
      <w:start w:val="1"/>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
      <w:numFmt w:val="bullet"/>
      <w:start w:val="1"/>
    </w:lvl>
  </w:abstractNum>
  <w:abstractNum w:abstractNumId="35">
    <w:nsid w:val="2CD89A32"/>
    <w:multiLevelType w:val="hybridMultilevel"/>
    <w:lvl w:ilvl="0">
      <w:lvlJc w:val="left"/>
      <w:lvlText w:val="•"/>
      <w:numFmt w:val="bullet"/>
      <w:start w:val="1"/>
    </w:lvl>
  </w:abstractNum>
  <w:abstractNum w:abstractNumId="36">
    <w:nsid w:val="57E4CCAF"/>
    <w:multiLevelType w:val="hybridMultilevel"/>
    <w:lvl w:ilvl="0">
      <w:lvlJc w:val="left"/>
      <w:lvlText w:val="•"/>
      <w:numFmt w:val="bullet"/>
      <w:start w:val="1"/>
    </w:lvl>
  </w:abstractNum>
  <w:abstractNum w:abstractNumId="37">
    <w:nsid w:val="7A6D8D3C"/>
    <w:multiLevelType w:val="hybridMultilevel"/>
    <w:lvl w:ilvl="0">
      <w:lvlJc w:val="left"/>
      <w:lvlText w:val="•"/>
      <w:numFmt w:val="bullet"/>
      <w:start w:val="1"/>
    </w:lvl>
  </w:abstractNum>
  <w:abstractNum w:abstractNumId="38">
    <w:nsid w:val="4B588F54"/>
    <w:multiLevelType w:val="hybridMultilevel"/>
    <w:lvl w:ilvl="0">
      <w:lvlJc w:val="left"/>
      <w:lvlText w:val="•"/>
      <w:numFmt w:val="bullet"/>
      <w:start w:val="1"/>
    </w:lvl>
  </w:abstractNum>
  <w:abstractNum w:abstractNumId="39">
    <w:nsid w:val="542289EC"/>
    <w:multiLevelType w:val="hybridMultilevel"/>
    <w:lvl w:ilvl="0">
      <w:lvlJc w:val="left"/>
      <w:lvlText w:val="•"/>
      <w:numFmt w:val="bullet"/>
      <w:start w:val="1"/>
    </w:lvl>
  </w:abstractNum>
  <w:abstractNum w:abstractNumId="40">
    <w:nsid w:val="6DE91B18"/>
    <w:multiLevelType w:val="hybridMultilevel"/>
    <w:lvl w:ilvl="0">
      <w:lvlJc w:val="left"/>
      <w:lvlText w:val="•"/>
      <w:numFmt w:val="bullet"/>
      <w:start w:val="1"/>
    </w:lvl>
  </w:abstractNum>
  <w:abstractNum w:abstractNumId="41">
    <w:nsid w:val="38437FDB"/>
    <w:multiLevelType w:val="hybridMultilevel"/>
    <w:lvl w:ilvl="0">
      <w:lvlJc w:val="left"/>
      <w:lvlText w:val="•"/>
      <w:numFmt w:val="bullet"/>
      <w:start w:val="1"/>
    </w:lvl>
  </w:abstractNum>
  <w:abstractNum w:abstractNumId="42">
    <w:nsid w:val="7644A45C"/>
    <w:multiLevelType w:val="hybridMultilevel"/>
    <w:lvl w:ilvl="0">
      <w:lvlJc w:val="left"/>
      <w:lvlText w:val="•"/>
      <w:numFmt w:val="bullet"/>
      <w:start w:val="1"/>
    </w:lvl>
  </w:abstractNum>
  <w:abstractNum w:abstractNumId="43">
    <w:nsid w:val="32FFF902"/>
    <w:multiLevelType w:val="hybridMultilevel"/>
    <w:lvl w:ilvl="0">
      <w:lvlJc w:val="left"/>
      <w:lvlText w:val="•"/>
      <w:numFmt w:val="bullet"/>
      <w:start w:val="1"/>
    </w:lvl>
  </w:abstractNum>
  <w:abstractNum w:abstractNumId="44">
    <w:nsid w:val="684A481A"/>
    <w:multiLevelType w:val="hybridMultilevel"/>
    <w:lvl w:ilvl="0">
      <w:lvlJc w:val="left"/>
      <w:lvlText w:val="(%1)"/>
      <w:numFmt w:val="lowerLetter"/>
      <w:start w:val="1"/>
    </w:lvl>
  </w:abstractNum>
  <w:abstractNum w:abstractNumId="45">
    <w:nsid w:val="579478FE"/>
    <w:multiLevelType w:val="hybridMultilevel"/>
    <w:lvl w:ilvl="0">
      <w:lvlJc w:val="left"/>
      <w:lvlText w:val="(%1)"/>
      <w:numFmt w:val="lowerLetter"/>
      <w:start w:val="3"/>
    </w:lvl>
  </w:abstractNum>
  <w:abstractNum w:abstractNumId="46">
    <w:nsid w:val="749ABB43"/>
    <w:multiLevelType w:val="hybridMultilevel"/>
    <w:lvl w:ilvl="0">
      <w:lvlJc w:val="left"/>
      <w:lvlText w:val="*"/>
      <w:numFmt w:val="bullet"/>
      <w:start w:val="1"/>
    </w:lvl>
    <w:lvl w:ilvl="1">
      <w:lvlJc w:val="left"/>
      <w:lvlText w:val="%2"/>
      <w:numFmt w:val="decimal"/>
      <w:start w:val="104"/>
    </w:lvl>
  </w:abstractNum>
  <w:abstractNum w:abstractNumId="47">
    <w:nsid w:val="3DC240FB"/>
    <w:multiLevelType w:val="hybridMultilevel"/>
    <w:lvl w:ilvl="0">
      <w:lvlJc w:val="left"/>
      <w:lvlText w:val="**"/>
      <w:numFmt w:val="bullet"/>
      <w:start w:val="1"/>
    </w:lvl>
    <w:lvl w:ilvl="1">
      <w:lvlJc w:val="left"/>
      <w:lvlText w:val="%2"/>
      <w:numFmt w:val="decimal"/>
      <w:start w:val="1"/>
    </w:lvl>
  </w:abstractNum>
  <w:abstractNum w:abstractNumId="48">
    <w:nsid w:val="1BA026FA"/>
    <w:multiLevelType w:val="hybridMultilevel"/>
    <w:lvl w:ilvl="0">
      <w:lvlJc w:val="left"/>
      <w:lvlText w:val="#"/>
      <w:numFmt w:val="bullet"/>
      <w:start w:val="1"/>
    </w:lvl>
  </w:abstractNum>
  <w:abstractNum w:abstractNumId="49">
    <w:nsid w:val="79A1DEAA"/>
    <w:multiLevelType w:val="hybridMultilevel"/>
    <w:lvl w:ilvl="0">
      <w:lvlJc w:val="left"/>
      <w:lvlText w:val="%1."/>
      <w:numFmt w:val="decimal"/>
      <w:start w:val="1"/>
    </w:lvl>
    <w:lvl w:ilvl="1">
      <w:lvlJc w:val="left"/>
      <w:lvlText w:val="(%2)"/>
      <w:numFmt w:val="lowerLetter"/>
      <w:start w:val="1"/>
    </w:lvl>
  </w:abstractNum>
  <w:abstractNum w:abstractNumId="50">
    <w:nsid w:val="75C6C33A"/>
    <w:multiLevelType w:val="hybridMultilevel"/>
    <w:lvl w:ilvl="0">
      <w:lvlJc w:val="left"/>
      <w:lvlText w:val="%1."/>
      <w:numFmt w:val="decimal"/>
      <w:start w:val="1"/>
    </w:lvl>
    <w:lvl w:ilvl="1">
      <w:lvlJc w:val="left"/>
      <w:lvlText w:val="(%2)"/>
      <w:numFmt w:val="lowerLetter"/>
      <w:start w:val="1"/>
    </w:lvl>
  </w:abstractNum>
  <w:abstractNum w:abstractNumId="51">
    <w:nsid w:val="12E685FB"/>
    <w:multiLevelType w:val="hybridMultilevel"/>
    <w:lvl w:ilvl="0">
      <w:lvlJc w:val="left"/>
      <w:lvlText w:val="(%1)"/>
      <w:numFmt w:val="decimal"/>
      <w:start w:val="1"/>
    </w:lvl>
  </w:abstractNum>
  <w:abstractNum w:abstractNumId="52">
    <w:nsid w:val="70C6A52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9" Type="http://schemas.openxmlformats.org/officeDocument/2006/relationships/image" Target="media/image199.png"/><Relationship Id="rId210" Type="http://schemas.openxmlformats.org/officeDocument/2006/relationships/image" Target="media/image200.png"/><Relationship Id="rId211" Type="http://schemas.openxmlformats.org/officeDocument/2006/relationships/image" Target="media/image201.png"/><Relationship Id="rId213" Type="http://schemas.openxmlformats.org/officeDocument/2006/relationships/image" Target="media/image202.png"/><Relationship Id="rId214" Type="http://schemas.openxmlformats.org/officeDocument/2006/relationships/image" Target="media/image203.png"/><Relationship Id="rId215" Type="http://schemas.openxmlformats.org/officeDocument/2006/relationships/image" Target="media/image204.png"/><Relationship Id="rId216" Type="http://schemas.openxmlformats.org/officeDocument/2006/relationships/image" Target="media/image205.png"/><Relationship Id="rId217" Type="http://schemas.openxmlformats.org/officeDocument/2006/relationships/image" Target="media/image206.png"/><Relationship Id="rId218" Type="http://schemas.openxmlformats.org/officeDocument/2006/relationships/image" Target="media/image207.png"/><Relationship Id="rId219" Type="http://schemas.openxmlformats.org/officeDocument/2006/relationships/image" Target="media/image208.png"/><Relationship Id="rId220" Type="http://schemas.openxmlformats.org/officeDocument/2006/relationships/image" Target="media/image209.png"/><Relationship Id="rId221" Type="http://schemas.openxmlformats.org/officeDocument/2006/relationships/image" Target="media/image210.png"/><Relationship Id="rId222" Type="http://schemas.openxmlformats.org/officeDocument/2006/relationships/image" Target="media/image211.png"/><Relationship Id="rId223" Type="http://schemas.openxmlformats.org/officeDocument/2006/relationships/image" Target="media/image212.png"/><Relationship Id="rId224" Type="http://schemas.openxmlformats.org/officeDocument/2006/relationships/image" Target="media/image213.png"/><Relationship Id="rId225" Type="http://schemas.openxmlformats.org/officeDocument/2006/relationships/image" Target="media/image214.png"/><Relationship Id="rId226" Type="http://schemas.openxmlformats.org/officeDocument/2006/relationships/image" Target="media/image215.png"/><Relationship Id="rId206" Type="http://schemas.openxmlformats.org/officeDocument/2006/relationships/hyperlink" Target="https://www.sec.gov/Archives/edgar/data/1829802/000119312521037280/d95909dex31.htm" TargetMode="External"/><Relationship Id="rId207" Type="http://schemas.openxmlformats.org/officeDocument/2006/relationships/hyperlink" Target="https://www.sec.gov/Archives/edgar/data/1829802/000119312522301836/d514100dex31.htm" TargetMode="External"/><Relationship Id="rId208" Type="http://schemas.openxmlformats.org/officeDocument/2006/relationships/hyperlink" Target="https://www.sec.gov/Archives/edgar/data/1829802/000119312523063093/d470819dex31.htm" TargetMode="External"/><Relationship Id="rId212" Type="http://schemas.openxmlformats.org/officeDocument/2006/relationships/hyperlink" Target="https://www.sec.gov/Archives/edgar/data/1829802/000095017025046338/snse-ex3_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2025-05-06T15:39:25Z</dcterms:created>
  <dcterms:modified xsi:type="dcterms:W3CDTF">2025-05-06T15:39:25Z</dcterms:modified>
</cp:coreProperties>
</file>