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left"/>
        <w:rPr/>
      </w:pPr>
      <w:bookmarkStart w:id="0" w:name="snse-20221231.htm"/>
      <w:bookmarkStart w:id="1" w:name="kssnse20221231"/>
      <w:bookmarkEnd w:id="0"/>
      <w:bookmarkEnd w:id="1"/>
      <w:r>
        <w:rPr/>
        <w:t> </w:t>
      </w:r>
    </w:p>
    <w:p>
      <w:pPr>
        <w:pStyle w:val="TextBody"/>
        <w:spacing w:before="0" w:after="0"/>
        <w:ind w:left="0" w:right="0" w:hanging="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ind w:left="0" w:right="0" w:hanging="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ind w:left="0" w:right="0" w:hanging="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60" w:after="0"/>
        <w:ind w:left="0" w:right="0" w:hanging="0"/>
        <w:jc w:val="center"/>
        <w:rPr>
          <w:rFonts w:ascii="Times New Roman;serif" w:hAnsi="Times New Roman;serif"/>
          <w:b/>
          <w:sz w:val="36"/>
        </w:rPr>
      </w:pPr>
      <w:r>
        <w:rPr>
          <w:rFonts w:ascii="Times New Roman;serif" w:hAnsi="Times New Roman;serif"/>
          <w:b/>
          <w:sz w:val="36"/>
        </w:rPr>
        <w:t>FORM 10-K/A</w:t>
      </w:r>
    </w:p>
    <w:p>
      <w:pPr>
        <w:pStyle w:val="TextBody"/>
        <w:spacing w:before="60" w:after="0"/>
        <w:ind w:left="0" w:right="0" w:hanging="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tbl>
      <w:tblPr>
        <w:tblW w:w="9962" w:type="dxa"/>
        <w:jc w:val="left"/>
        <w:tblInd w:w="0" w:type="dxa"/>
        <w:tblCellMar>
          <w:top w:w="28" w:type="dxa"/>
          <w:left w:w="28" w:type="dxa"/>
          <w:bottom w:w="28" w:type="dxa"/>
          <w:right w:w="28" w:type="dxa"/>
        </w:tblCellMar>
      </w:tblPr>
      <w:tblGrid>
        <w:gridCol w:w="331"/>
        <w:gridCol w:w="9631"/>
      </w:tblGrid>
      <w:tr>
        <w:trPr/>
        <w:tc>
          <w:tcPr>
            <w:tcW w:w="331" w:type="dxa"/>
            <w:tcBorders/>
            <w:shd w:fill="auto" w:val="clear"/>
            <w:vAlign w:val="center"/>
          </w:tcPr>
          <w:p>
            <w:pPr>
              <w:pStyle w:val="TableContents"/>
              <w:spacing w:before="0" w:after="283"/>
              <w:rPr>
                <w:sz w:val="4"/>
                <w:szCs w:val="4"/>
              </w:rPr>
            </w:pPr>
            <w:r>
              <w:rPr>
                <w:sz w:val="4"/>
                <w:szCs w:val="4"/>
              </w:rPr>
            </w:r>
          </w:p>
        </w:tc>
        <w:tc>
          <w:tcPr>
            <w:tcW w:w="963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6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tc>
      </w:tr>
    </w:tbl>
    <w:p>
      <w:pPr>
        <w:pStyle w:val="TextBody"/>
        <w:spacing w:before="60" w:after="0"/>
        <w:ind w:left="0" w:right="0" w:hanging="0"/>
        <w:jc w:val="center"/>
        <w:rPr>
          <w:rFonts w:ascii="Times New Roman;serif" w:hAnsi="Times New Roman;serif"/>
          <w:b/>
          <w:sz w:val="20"/>
        </w:rPr>
      </w:pPr>
      <w:r>
        <w:rPr>
          <w:rFonts w:ascii="Times New Roman;serif" w:hAnsi="Times New Roman;serif"/>
          <w:b/>
          <w:sz w:val="20"/>
        </w:rPr>
        <w:t>For the fiscal year ended December 31, 2022</w:t>
      </w:r>
    </w:p>
    <w:p>
      <w:pPr>
        <w:pStyle w:val="TextBody"/>
        <w:spacing w:before="60" w:after="0"/>
        <w:ind w:left="0" w:right="0" w:hanging="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spacing w:before="0" w:after="0"/>
        <w:ind w:left="0" w:right="0" w:hanging="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before="60" w:after="0"/>
        <w:ind w:left="0" w:right="0" w:hanging="0"/>
        <w:jc w:val="center"/>
        <w:rPr>
          <w:rFonts w:ascii="Times New Roman;serif" w:hAnsi="Times New Roman;serif"/>
          <w:b/>
          <w:sz w:val="20"/>
        </w:rPr>
      </w:pPr>
      <w:r>
        <w:rPr>
          <w:rFonts w:ascii="Times New Roman;serif" w:hAnsi="Times New Roman;serif"/>
          <w:b/>
          <w:sz w:val="20"/>
        </w:rPr>
        <w:t>Commission File Number: 001-39980</w:t>
      </w:r>
    </w:p>
    <w:p>
      <w:pPr>
        <w:pStyle w:val="TextBody"/>
        <w:spacing w:before="60" w:after="0"/>
        <w:ind w:left="0" w:right="0" w:hanging="0"/>
        <w:jc w:val="center"/>
        <w:rPr>
          <w:rFonts w:ascii="Times New Roman;serif" w:hAnsi="Times New Roman;serif"/>
          <w:b/>
          <w:sz w:val="48"/>
        </w:rPr>
      </w:pPr>
      <w:r>
        <w:rPr>
          <w:rFonts w:ascii="Times New Roman;serif" w:hAnsi="Times New Roman;serif"/>
          <w:b/>
          <w:sz w:val="48"/>
        </w:rPr>
        <w:t>Sensei Biotherapeutics, Inc.</w:t>
      </w:r>
    </w:p>
    <w:p>
      <w:pPr>
        <w:pStyle w:val="TextBody"/>
        <w:spacing w:before="0" w:after="0"/>
        <w:ind w:left="0" w:right="0" w:hanging="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83-1863385</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1405 Research Blvd, Suite 125</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Rockville, MD</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20850</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ind w:left="0" w:right="0" w:hanging="0"/>
        <w:jc w:val="center"/>
        <w:rPr>
          <w:rFonts w:ascii="Times New Roman;serif" w:hAnsi="Times New Roman;serif"/>
          <w:b/>
          <w:sz w:val="18"/>
        </w:rPr>
      </w:pPr>
      <w:r>
        <w:rPr>
          <w:rFonts w:ascii="Times New Roman;serif" w:hAnsi="Times New Roman;serif"/>
          <w:b/>
          <w:sz w:val="18"/>
        </w:rPr>
        <w:t>Registrant’s telephone number, including area code: (240) 243-8000</w:t>
      </w:r>
    </w:p>
    <w:p>
      <w:pPr>
        <w:pStyle w:val="TextBody"/>
        <w:spacing w:before="0" w:after="0"/>
        <w:ind w:left="0" w:right="0" w:hanging="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p>
      <w:pPr>
        <w:pStyle w:val="TextBody"/>
        <w:spacing w:before="0" w:after="0"/>
        <w:ind w:left="0" w:right="0" w:hanging="0"/>
        <w:jc w:val="left"/>
        <w:rPr/>
      </w:pPr>
      <w:r>
        <w:rPr/>
        <w:t> </w:t>
      </w:r>
    </w:p>
    <w:tbl>
      <w:tblPr>
        <w:tblW w:w="8350" w:type="dxa"/>
        <w:jc w:val="left"/>
        <w:tblInd w:w="0" w:type="dxa"/>
        <w:tblCellMar>
          <w:top w:w="28" w:type="dxa"/>
          <w:left w:w="28" w:type="dxa"/>
          <w:bottom w:w="28" w:type="dxa"/>
          <w:right w:w="28" w:type="dxa"/>
        </w:tblCellMar>
      </w:tblPr>
      <w:tblGrid>
        <w:gridCol w:w="3286"/>
        <w:gridCol w:w="146"/>
        <w:gridCol w:w="145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SNSE</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Series A Preferred Stock Purchase Rights</w:t>
            </w:r>
          </w:p>
        </w:tc>
        <w:tc>
          <w:tcPr>
            <w:tcW w:w="14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ind w:left="0" w:right="0" w:hanging="0"/>
        <w:jc w:val="left"/>
        <w:rPr>
          <w:rFonts w:ascii="Times New Roman" w:hAnsi="Times New Roman"/>
          <w:sz w:val="20"/>
        </w:rPr>
      </w:pPr>
      <w:r>
        <w:rPr>
          <w:rFonts w:ascii="Times New Roman;serif" w:hAnsi="Times New Roman;serif"/>
          <w:b w:val="false"/>
          <w:sz w:val="16"/>
        </w:rPr>
        <w:t>Securities registered pursuant to Section 12(g) of the Act: None</w:t>
      </w:r>
      <w:r>
        <w:rPr>
          <w:rFonts w:ascii="Times New Roman" w:hAnsi="Times New Roman"/>
          <w:sz w:val="20"/>
        </w:rPr>
        <w:t xml:space="preserve"> </w:t>
      </w:r>
    </w:p>
    <w:p>
      <w:pPr>
        <w:pStyle w:val="TextBody"/>
        <w:spacing w:before="0" w:after="0"/>
        <w:ind w:left="0" w:right="0" w:hanging="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ind w:left="0" w:right="0" w:hanging="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15(d) of the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ind w:left="0" w:right="0" w:hanging="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60" w:after="0"/>
        <w:ind w:left="0" w:right="0" w:hanging="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60" w:after="0"/>
        <w:ind w:left="0" w:right="0" w:hanging="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left"/>
        <w:rPr/>
      </w:pPr>
      <w:r>
        <w:rPr/>
        <w:t> </w:t>
      </w:r>
    </w:p>
    <w:tbl>
      <w:tblPr>
        <w:tblW w:w="4807" w:type="dxa"/>
        <w:jc w:val="left"/>
        <w:tblInd w:w="0" w:type="dxa"/>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60" w:after="0"/>
        <w:ind w:left="0" w:right="0" w:hanging="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60" w:after="0"/>
        <w:ind w:left="0" w:right="0" w:hanging="0"/>
        <w:jc w:val="left"/>
        <w:rPr>
          <w:rFonts w:ascii="Times New Roman;serif" w:hAnsi="Times New Roman;serif"/>
          <w:b w:val="false"/>
          <w:sz w:val="16"/>
        </w:rPr>
      </w:pPr>
      <w:r>
        <w:rPr>
          <w:rFonts w:ascii="Times New Roman;serif" w:hAnsi="Times New Roman;serif"/>
          <w:b w:val="false"/>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jc w:val="left"/>
        <w:rPr>
          <w:rFonts w:ascii="Times New Roman" w:hAnsi="Times New Roman"/>
          <w:sz w:val="20"/>
        </w:rPr>
      </w:pPr>
      <w:r>
        <w:rPr>
          <w:rFonts w:ascii="Times New Roman;serif" w:hAnsi="Times New Roman;serif"/>
          <w:b w:val="false"/>
          <w:sz w:val="16"/>
        </w:rPr>
        <w:t>Indicate by check mark whether any of those error corrections are restatements that required a recovery analysis of incentive-based compensation received by any of the registrant’s executive oﬃcers during the relevant recovery period pursuant to §240.10D-1(b). ☐</w:t>
        <w:br/>
        <w:b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60" w:after="60"/>
        <w:ind w:left="0" w:right="0" w:hanging="0"/>
        <w:jc w:val="left"/>
        <w:rPr>
          <w:rFonts w:ascii="Times New Roman" w:hAnsi="Times New Roman"/>
          <w:sz w:val="20"/>
        </w:rPr>
      </w:pPr>
      <w:r>
        <w:rPr>
          <w:rFonts w:ascii="Times New Roman;serif" w:hAnsi="Times New Roman;serif"/>
          <w:b w:val="false"/>
          <w:sz w:val="16"/>
        </w:rPr>
        <w:t>As of June 30, 2022 (the last business day of the Registrant’s second fiscal quarter), the Registrant's aggregate market value of its voting common equity held by non-affiliates was approximately $36.4</w:t>
      </w:r>
      <w:r>
        <w:rPr>
          <w:rFonts w:ascii="Times New Roman" w:hAnsi="Times New Roman"/>
          <w:sz w:val="20"/>
        </w:rPr>
        <w:t xml:space="preserve"> </w:t>
      </w:r>
      <w:r>
        <w:rPr>
          <w:rFonts w:ascii="Times New Roman;serif" w:hAnsi="Times New Roman;serif"/>
          <w:b w:val="false"/>
          <w:sz w:val="16"/>
        </w:rPr>
        <w:t>million based on the closing sale price of $2.27 per share as reported on the Nasdaq Global Market on that date. The number of shares of Registrant’s Common Stock outstanding as of March 27, 2023 was 30,971,341.</w:t>
      </w:r>
    </w:p>
    <w:tbl>
      <w:tblPr>
        <w:tblW w:w="5155" w:type="dxa"/>
        <w:jc w:val="left"/>
        <w:tblInd w:w="0" w:type="dxa"/>
        <w:tblCellMar>
          <w:top w:w="28" w:type="dxa"/>
          <w:left w:w="28" w:type="dxa"/>
          <w:bottom w:w="28" w:type="dxa"/>
          <w:right w:w="28" w:type="dxa"/>
        </w:tblCellMar>
      </w:tblPr>
      <w:tblGrid>
        <w:gridCol w:w="1756"/>
        <w:gridCol w:w="146"/>
        <w:gridCol w:w="1546"/>
        <w:gridCol w:w="146"/>
        <w:gridCol w:w="1561"/>
      </w:tblGrid>
      <w:tr>
        <w:trPr/>
        <w:tc>
          <w:tcPr>
            <w:tcW w:w="1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175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Name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Location</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Firm ID</w:t>
            </w:r>
          </w:p>
        </w:tc>
      </w:tr>
      <w:tr>
        <w:trPr/>
        <w:tc>
          <w:tcPr>
            <w:tcW w:w="17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Deloitte &amp; Touche LLP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Baltimore, Maryland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(PCAOB ID No. 34)</w:t>
            </w:r>
          </w:p>
        </w:tc>
      </w:tr>
    </w:tbl>
    <w:p>
      <w:pPr>
        <w:pStyle w:val="TextBody"/>
        <w:pBdr>
          <w:bottom w:val="double" w:sz="6" w:space="1" w:color="000000"/>
        </w:pBdr>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ind w:left="0" w:right="0" w:hanging="0"/>
        <w:jc w:val="left"/>
        <w:rPr/>
      </w:pPr>
      <w:r>
        <w:rPr/>
        <w:t> </w:t>
      </w:r>
    </w:p>
    <w:tbl>
      <w:tblPr>
        <w:tblW w:w="9678" w:type="dxa"/>
        <w:jc w:val="left"/>
        <w:tblInd w:w="0" w:type="dxa"/>
        <w:tblCellMar>
          <w:top w:w="28" w:type="dxa"/>
          <w:left w:w="28" w:type="dxa"/>
          <w:bottom w:w="28" w:type="dxa"/>
          <w:right w:w="28" w:type="dxa"/>
        </w:tblCellMar>
      </w:tblPr>
      <w:tblGrid>
        <w:gridCol w:w="916"/>
        <w:gridCol w:w="8251"/>
        <w:gridCol w:w="511"/>
      </w:tblGrid>
      <w:tr>
        <w:trPr/>
        <w:tc>
          <w:tcPr>
            <w:tcW w:w="916" w:type="dxa"/>
            <w:tcBorders/>
            <w:shd w:fill="auto" w:val="clear"/>
            <w:vAlign w:val="center"/>
          </w:tcPr>
          <w:p>
            <w:pPr>
              <w:pStyle w:val="TableContents"/>
              <w:spacing w:before="0" w:after="283"/>
              <w:rPr>
                <w:sz w:val="4"/>
                <w:szCs w:val="4"/>
              </w:rPr>
            </w:pPr>
            <w:r>
              <w:rPr>
                <w:sz w:val="4"/>
                <w:szCs w:val="4"/>
              </w:rPr>
            </w:r>
          </w:p>
        </w:tc>
        <w:tc>
          <w:tcPr>
            <w:tcW w:w="825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oc_page">
              <w:r>
                <w:rPr>
                  <w:rStyle w:val="InternetLink"/>
                  <w:rFonts w:ascii="Times New Roman;serif" w:hAnsi="Times New Roman;serif"/>
                  <w:b w:val="false"/>
                  <w:sz w:val="20"/>
                  <w:u w:val="single"/>
                </w:rPr>
                <w:t>Explanatory Note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III</w:t>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10.</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0_directors_executive_ficers_corpo">
              <w:r>
                <w:rPr>
                  <w:rStyle w:val="InternetLink"/>
                  <w:rFonts w:ascii="Times New Roman;serif" w:hAnsi="Times New Roman;serif"/>
                  <w:b w:val="false"/>
                  <w:sz w:val="20"/>
                  <w:u w:val="single"/>
                </w:rPr>
                <w:t>Directors, Executive Officers and Corporate Governance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11.</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1_executive_compensation">
              <w:r>
                <w:rPr>
                  <w:rStyle w:val="InternetLink"/>
                  <w:rFonts w:ascii="Times New Roman;serif" w:hAnsi="Times New Roman;serif"/>
                  <w:b w:val="false"/>
                  <w:sz w:val="20"/>
                  <w:u w:val="single"/>
                </w:rPr>
                <w:t>Executive Compensation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12.</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2_security_ownership_certain_benef">
              <w:r>
                <w:rPr>
                  <w:rStyle w:val="InternetLink"/>
                  <w:rFonts w:ascii="Times New Roman;serif" w:hAnsi="Times New Roman;serif"/>
                  <w:b w:val="false"/>
                  <w:sz w:val="20"/>
                  <w:u w:val="single"/>
                </w:rPr>
                <w:t>Security Ownership of Certain Beneficial Owners and Management and Related Stockholder Matters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11</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13.</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3_certain_relationships_related_tr">
              <w:r>
                <w:rPr>
                  <w:rStyle w:val="InternetLink"/>
                  <w:rFonts w:ascii="Times New Roman;serif" w:hAnsi="Times New Roman;serif"/>
                  <w:b w:val="false"/>
                  <w:sz w:val="20"/>
                  <w:u w:val="single"/>
                </w:rPr>
                <w:t>Certain Relationships and Related Transactions, and Director Independence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12</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14.</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4_principal_accounting_fees_servic">
              <w:r>
                <w:rPr>
                  <w:rStyle w:val="InternetLink"/>
                  <w:rFonts w:ascii="Times New Roman;serif" w:hAnsi="Times New Roman;serif"/>
                  <w:b w:val="false"/>
                  <w:sz w:val="20"/>
                  <w:u w:val="single"/>
                </w:rPr>
                <w:t>Principal Accounting Fees and Services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r>
      <w:tr>
        <w:trPr/>
        <w:tc>
          <w:tcPr>
            <w:tcW w:w="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IV</w:t>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15.</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5_exhibits_financial_statement_sch">
              <w:r>
                <w:rPr>
                  <w:rStyle w:val="InternetLink"/>
                  <w:rFonts w:ascii="Times New Roman;serif" w:hAnsi="Times New Roman;serif"/>
                  <w:b w:val="false"/>
                  <w:sz w:val="20"/>
                  <w:u w:val="single"/>
                </w:rPr>
                <w:t>Exhibits, Financial Statement Schedules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16</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16</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6_form_10k_summary">
              <w:r>
                <w:rPr>
                  <w:rStyle w:val="InternetLink"/>
                  <w:rFonts w:ascii="Times New Roman;serif" w:hAnsi="Times New Roman;serif"/>
                  <w:b w:val="false"/>
                  <w:sz w:val="20"/>
                  <w:u w:val="single"/>
                </w:rPr>
                <w:t>Form 10-K Summary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bl>
    <w:p>
      <w:pPr>
        <w:pStyle w:val="TextBody"/>
        <w:spacing w:before="0" w:after="0"/>
        <w:ind w:left="0" w:right="0" w:hanging="0"/>
        <w:jc w:val="left"/>
        <w:rPr/>
      </w:pPr>
      <w:r>
        <w:rPr/>
        <w:t> </w:t>
      </w:r>
    </w:p>
    <w:p>
      <w:pPr>
        <w:pStyle w:val="TextBody"/>
        <w:spacing w:before="240" w:after="0"/>
        <w:ind w:left="0" w:right="0" w:hanging="0"/>
        <w:jc w:val="center"/>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serif" w:hAnsi="Times New Roman;serif"/>
          <w:b/>
          <w:sz w:val="20"/>
        </w:rPr>
      </w:pPr>
      <w:bookmarkStart w:id="2" w:name="toc_page"/>
      <w:bookmarkEnd w:id="2"/>
      <w:r>
        <w:rPr>
          <w:rFonts w:ascii="Times New Roman;serif" w:hAnsi="Times New Roman;serif"/>
          <w:b/>
          <w:sz w:val="20"/>
        </w:rPr>
        <w:t>EXPLANATORY NOTE</w:t>
      </w:r>
    </w:p>
    <w:p>
      <w:pPr>
        <w:pStyle w:val="TextBody"/>
        <w:spacing w:before="0" w:after="0"/>
        <w:ind w:left="0" w:right="0" w:hanging="0"/>
        <w:jc w:val="center"/>
        <w:rPr/>
      </w:pPr>
      <w:r>
        <w:rPr/>
        <w:t> </w:t>
      </w:r>
    </w:p>
    <w:p>
      <w:pPr>
        <w:pStyle w:val="TextBody"/>
        <w:spacing w:before="0" w:after="0"/>
        <w:ind w:left="0" w:right="0" w:hanging="0"/>
        <w:jc w:val="left"/>
        <w:rPr>
          <w:rFonts w:ascii="Times New Roman;serif" w:hAnsi="Times New Roman;serif"/>
          <w:b w:val="false"/>
          <w:sz w:val="20"/>
        </w:rPr>
      </w:pPr>
      <w:r>
        <w:rPr>
          <w:rFonts w:ascii="Times New Roman;serif" w:hAnsi="Times New Roman;serif"/>
          <w:b w:val="false"/>
          <w:sz w:val="20"/>
        </w:rPr>
        <w:t>Sensei Biotherapeutics, Inc. (the “Registrant”) is filing this Amendment No. 1 to Annual Report on Form 10-K/A (the “Amendment”) to amend its Annual Report on Form 10-K for the fiscal year ended December 31, 2022 (File Number 001-39980) (the “Form 10-K”), as filed with the Securities and Exchange Commission (“SEC”) on March 29, 2023. The principal purpose of this Amendment is to include in Part III the information that was previously omitted from the Form 10-K. Accordingly, this Amendment hereby provides the additional information required by Part III, Items 10 through 14 of the Form 10-K. In addition, as required by Rule 12b-15 under the Securities Exchange Act of 1934, as amended (the “Exchange Act”), Item 15 of Part IV of the Form 10-K has been amended to include new certifications by the Registrant’s principal executive officer and principal financial officer as exhibits 31.1 and 31.2, as well as a revised version of exhibit 10.7. No attempt has been made in this Amendment to modify or update the other disclosures presented in the Form 10-K. This Amendment does not reflect events occurring after the filing of the Form 10-K or modify or update those disclosures that may be affected by subsequent events. Accordingly, this Amendment should be read in conjunction with the Form 10-K and the Registrant’s other filings with the SEC.</w:t>
      </w:r>
    </w:p>
    <w:p>
      <w:pPr>
        <w:pStyle w:val="TextBody"/>
        <w:spacing w:before="120" w:after="0"/>
        <w:ind w:left="0" w:right="0" w:hanging="0"/>
        <w:jc w:val="left"/>
        <w:rPr>
          <w:rFonts w:ascii="Times New Roman" w:hAnsi="Times New Roman"/>
          <w:sz w:val="20"/>
        </w:rPr>
      </w:pPr>
      <w:r>
        <w:rPr>
          <w:rFonts w:ascii="Times New Roman;serif" w:hAnsi="Times New Roman;serif"/>
          <w:b w:val="false"/>
          <w:sz w:val="20"/>
        </w:rPr>
        <w:t>In this Amendment, unless otherwise indicated or the context otherwise requires, all references to “Sensei,” “we,” “us,” “our,” “ours” and “the Company” or similar terms refer to Sensei Biotherapeutics, Inc.</w:t>
      </w:r>
      <w:r>
        <w:rPr>
          <w:rFonts w:ascii="Times New Roman" w:hAnsi="Times New Roman"/>
          <w:sz w:val="20"/>
        </w:rPr>
        <w:t xml:space="preserve"> </w:t>
      </w:r>
    </w:p>
    <w:p>
      <w:pPr>
        <w:pStyle w:val="TextBody"/>
        <w:spacing w:before="240" w:after="0"/>
        <w:ind w:left="0" w:right="0" w:hanging="0"/>
        <w:jc w:val="center"/>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serif" w:hAnsi="Times New Roman;serif"/>
          <w:b/>
          <w:sz w:val="20"/>
        </w:rPr>
        <w:t>PART III</w:t>
      </w:r>
      <w:r>
        <w:rPr>
          <w:rFonts w:ascii="Times New Roman" w:hAnsi="Times New Roman"/>
          <w:sz w:val="20"/>
        </w:rPr>
        <w:t xml:space="preserve"> </w:t>
      </w:r>
    </w:p>
    <w:p>
      <w:pPr>
        <w:pStyle w:val="TextBody"/>
        <w:spacing w:before="360" w:after="0"/>
        <w:ind w:left="0" w:right="0" w:hanging="0"/>
        <w:jc w:val="left"/>
        <w:rPr>
          <w:rFonts w:ascii="Times New Roman" w:hAnsi="Times New Roman"/>
          <w:sz w:val="20"/>
        </w:rPr>
      </w:pPr>
      <w:bookmarkStart w:id="3" w:name="item_10_directors_executive_ficers_corpo"/>
      <w:bookmarkEnd w:id="3"/>
      <w:r>
        <w:rPr>
          <w:rFonts w:ascii="Times New Roman;serif" w:hAnsi="Times New Roman;serif"/>
          <w:b/>
          <w:sz w:val="20"/>
        </w:rPr>
        <w:t>Item 10. Directors, Executive Officers and Corporate Governance.</w:t>
      </w:r>
      <w:r>
        <w:rPr>
          <w:rFonts w:ascii="Times New Roman" w:hAnsi="Times New Roman"/>
          <w:sz w:val="20"/>
        </w:rPr>
        <w:t xml:space="preserve"> </w:t>
      </w:r>
    </w:p>
    <w:p>
      <w:pPr>
        <w:pStyle w:val="TextBody"/>
        <w:spacing w:before="120" w:after="0"/>
        <w:ind w:left="0" w:right="0" w:hanging="0"/>
        <w:jc w:val="left"/>
        <w:rPr>
          <w:rFonts w:ascii="Times New Roman" w:hAnsi="Times New Roman"/>
          <w:sz w:val="20"/>
        </w:rPr>
      </w:pPr>
      <w:r>
        <w:rPr>
          <w:rFonts w:ascii="Times New Roman;serif" w:hAnsi="Times New Roman;serif"/>
          <w:b/>
          <w:sz w:val="20"/>
        </w:rPr>
        <w:t>Executive Officers and Directors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The following table sets forth information for our executive officers and directors, including their ages as of the date hereof. There are no family relationships among any of our directors or executive officers.</w:t>
      </w:r>
      <w:r>
        <w:rPr>
          <w:rFonts w:ascii="Times New Roman" w:hAnsi="Times New Roman"/>
          <w:sz w:val="20"/>
        </w:rPr>
        <w:t xml:space="preserve"> </w:t>
      </w:r>
    </w:p>
    <w:tbl>
      <w:tblPr>
        <w:tblW w:w="6798" w:type="dxa"/>
        <w:jc w:val="left"/>
        <w:tblInd w:w="0" w:type="dxa"/>
        <w:tblCellMar>
          <w:top w:w="28" w:type="dxa"/>
          <w:left w:w="28" w:type="dxa"/>
          <w:bottom w:w="28" w:type="dxa"/>
          <w:right w:w="28" w:type="dxa"/>
        </w:tblCellMar>
      </w:tblPr>
      <w:tblGrid>
        <w:gridCol w:w="2401"/>
        <w:gridCol w:w="436"/>
        <w:gridCol w:w="3961"/>
      </w:tblGrid>
      <w:tr>
        <w:trPr/>
        <w:tc>
          <w:tcPr>
            <w:tcW w:w="240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961" w:type="dxa"/>
            <w:tcBorders/>
            <w:shd w:fill="auto" w:val="clear"/>
            <w:vAlign w:val="center"/>
          </w:tcPr>
          <w:p>
            <w:pPr>
              <w:pStyle w:val="TableContents"/>
              <w:spacing w:before="0" w:after="283"/>
              <w:rPr>
                <w:sz w:val="4"/>
                <w:szCs w:val="4"/>
              </w:rPr>
            </w:pPr>
            <w:r>
              <w:rPr>
                <w:sz w:val="4"/>
                <w:szCs w:val="4"/>
              </w:rPr>
            </w:r>
          </w:p>
        </w:tc>
      </w:tr>
      <w:tr>
        <w:trPr/>
        <w:tc>
          <w:tcPr>
            <w:tcW w:w="2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Age</w:t>
            </w:r>
          </w:p>
        </w:tc>
        <w:tc>
          <w:tcPr>
            <w:tcW w:w="3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Position</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Executive Officers</w:t>
            </w:r>
          </w:p>
        </w:tc>
        <w:tc>
          <w:tcPr>
            <w:tcW w:w="436" w:type="dxa"/>
            <w:tcBorders/>
            <w:shd w:fill="auto" w:val="clear"/>
            <w:vAlign w:val="center"/>
          </w:tcPr>
          <w:p>
            <w:pPr>
              <w:pStyle w:val="TableContents"/>
              <w:spacing w:before="0" w:after="0"/>
              <w:ind w:left="0" w:right="0" w:hanging="0"/>
              <w:jc w:val="left"/>
              <w:rPr/>
            </w:pPr>
            <w:r>
              <w:rPr/>
              <w:t> </w:t>
            </w:r>
          </w:p>
        </w:tc>
        <w:tc>
          <w:tcPr>
            <w:tcW w:w="396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 and 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Patrick Gallagher</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Business Officer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Scientific Officer</w:t>
            </w:r>
          </w:p>
        </w:tc>
      </w:tr>
      <w:tr>
        <w:trPr/>
        <w:tc>
          <w:tcPr>
            <w:tcW w:w="2401"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396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Non-Employee Directors</w:t>
            </w:r>
          </w:p>
        </w:tc>
        <w:tc>
          <w:tcPr>
            <w:tcW w:w="436" w:type="dxa"/>
            <w:tcBorders/>
            <w:shd w:fill="auto" w:val="clear"/>
            <w:vAlign w:val="center"/>
          </w:tcPr>
          <w:p>
            <w:pPr>
              <w:pStyle w:val="TableContents"/>
              <w:spacing w:before="0" w:after="0"/>
              <w:ind w:left="0" w:right="0" w:hanging="0"/>
              <w:jc w:val="left"/>
              <w:rPr/>
            </w:pPr>
            <w:r>
              <w:rPr/>
              <w:t> </w:t>
            </w:r>
          </w:p>
        </w:tc>
        <w:tc>
          <w:tcPr>
            <w:tcW w:w="396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Ringo(2)(3)</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77</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Bob Holmen(1)(2)</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Ph.D.(2)(3)(4)</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36</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Samuel Broder, M.D.(3)(4)</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78</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Ricks(1)(2)</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70</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M.D.(2)(3)(4)</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58</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Ph.D.(3)(4)</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 (1)</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48</w:t>
            </w:r>
          </w:p>
        </w:tc>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bl>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xml:space="preserve">Member of the Audit Committee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Member of the Compensation Committee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Member of the Nominating and Corporate Governance Committee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 xml:space="preserve">Member of the Science and Technology Committee </w:t>
      </w:r>
    </w:p>
    <w:p>
      <w:pPr>
        <w:pStyle w:val="TextBody"/>
        <w:spacing w:before="360" w:after="0"/>
        <w:ind w:left="0" w:right="0" w:hanging="0"/>
        <w:jc w:val="left"/>
        <w:rPr>
          <w:rFonts w:ascii="Times New Roman" w:hAnsi="Times New Roman"/>
          <w:sz w:val="20"/>
        </w:rPr>
      </w:pPr>
      <w:r>
        <w:rPr>
          <w:rFonts w:ascii="Times New Roman;serif" w:hAnsi="Times New Roman;serif"/>
          <w:b/>
          <w:sz w:val="20"/>
        </w:rPr>
        <w:t>Executive Officers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sz w:val="20"/>
        </w:rPr>
        <w:t>John Celebi</w:t>
      </w:r>
      <w:r>
        <w:rPr>
          <w:rFonts w:ascii="Times New Roman" w:hAnsi="Times New Roman"/>
          <w:sz w:val="20"/>
        </w:rPr>
        <w:t xml:space="preserve"> </w:t>
      </w:r>
      <w:r>
        <w:rPr>
          <w:rFonts w:ascii="Times New Roman;serif" w:hAnsi="Times New Roman;serif"/>
          <w:b w:val="false"/>
          <w:sz w:val="20"/>
        </w:rPr>
        <w:t>has served as our President and Chief Executive Officer and a member of our board of directors since February 2018. Prior to joining us, from 2016 until February 2018, Mr. Celebi served as Chief Operating Officer of X4 Pharmaceuticals, Inc., a clinical-stage biopharmaceutical company. Prior to X4 Pharmaceuticals, from 2011 until 2016, he served as Chief Business Officer at Igenica Biotherapeutics, Inc., an immunotherapy company. Prior to joining Igenica Biotherapeutics, Mr. Celebi served in various roles at ArQule, Inc., a biotechnology and pharmaceutical company from 2003 until 2011, including as Vice President of Business Development and New Product Planning and Alliance Management. Mr. Celebi received a B.S. in Biophysics from the University of California, San Diego and an M.B.A. from Carnegie Mellon University. We believe that Mr. Celebi’s perspective and deep experience in the biotechnology industry, as well as his experience leading our company as the President and Chief Executive Officer, qualifies him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Erin Colgan</w:t>
      </w:r>
      <w:r>
        <w:rPr>
          <w:rFonts w:ascii="Times New Roman" w:hAnsi="Times New Roman"/>
          <w:sz w:val="20"/>
        </w:rPr>
        <w:t xml:space="preserve"> </w:t>
      </w:r>
      <w:r>
        <w:rPr>
          <w:rFonts w:ascii="Times New Roman;serif" w:hAnsi="Times New Roman;serif"/>
          <w:b w:val="false"/>
          <w:sz w:val="20"/>
        </w:rPr>
        <w:t>has served as our Chief Financial Officer since January 2022 and previously served as our Senior Vice President of Finance and Administration from July 2020 to December 2021. Prior to joining us, Ms. Colgan served as the Vice President of FP+A and Commercial Planning at Intarcia Therapeutics from August 2019 to June 2020. Prior to Intarcia, from 2010 to August 2019, Ms. Colgan held various roles of increasing responsibility at Vertex Pharmaceuticals, most recently as Senior Director, FP+A and Global Revenue. Ms. Colgan began her career in public accounting at PricewaterhouseCoopers where she worked in both audit and business development. Ms. Colgan holds a B.A. in Accounting from the University of Massachusetts, Amherst.</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Patrick Gallagher</w:t>
      </w:r>
      <w:r>
        <w:rPr>
          <w:rFonts w:ascii="Times New Roman" w:hAnsi="Times New Roman"/>
          <w:sz w:val="20"/>
        </w:rPr>
        <w:t xml:space="preserve"> </w:t>
      </w:r>
      <w:r>
        <w:rPr>
          <w:rFonts w:ascii="Times New Roman;serif" w:hAnsi="Times New Roman;serif"/>
          <w:b w:val="false"/>
          <w:sz w:val="20"/>
        </w:rPr>
        <w:t>has served as our Chief Business Officer since June 2022. Prior to joining us, Mr. Gallagher served as a Managing Director of Binney Street Partners from October 2020 to June 2022, where he supported transactions, financings and partnerships for private and publicly traded biotechnology and pharmaceutical companies. Prior to Binney Street Partners, Mr. Gallagher was a Principal with Aquilo Partners, a boutique investment bank, from March 2018 to 2020. Prior to Aquilo Partners, from 2016 to 2018, he served as Senior Director of Business Development for Radius Health. Prior to that, he served in multiple strategy and transaction roles for AbbVie from 2014 to 2016, Flagship Pioneering from 2010 to 2014 and AMAG Pharmaceuticals from 2009 to 2010. Mr. Gallagher earned a B.A. in psychology from Ohio Wesleyan University, and both an M.B.A and M.P.H from Boston University.</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ind w:left="0" w:right="0" w:hanging="0"/>
        <w:jc w:val="left"/>
        <w:rPr/>
      </w:pPr>
      <w:r>
        <w:rPr/>
        <w:t>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Edward van der Horst, Ph.D.</w:t>
      </w:r>
      <w:r>
        <w:rPr>
          <w:rFonts w:ascii="Times New Roman" w:hAnsi="Times New Roman"/>
          <w:sz w:val="20"/>
        </w:rPr>
        <w:t xml:space="preserve"> </w:t>
      </w:r>
      <w:r>
        <w:rPr>
          <w:rFonts w:ascii="Times New Roman;serif" w:hAnsi="Times New Roman;serif"/>
          <w:b w:val="false"/>
          <w:sz w:val="20"/>
        </w:rPr>
        <w:t>has served as our Chief Scientific Officer since December 2022. Dr. van der Horst previously served as our Senior Vice President of Biologics Discovery and Early Development from October 2021 to December 2022 and as our Vice President of Preclinical Development from September 2019 to October 2021. Prior to joining us, Dr. van der Horst served as Vice President, Discovery Biology &amp; Preclinical Drug Development at Zenith Epigenetics Ltd., a clinical stage oncology company, from 2017 to August 2019. Prior to Zenith Epigenetics, from 2010 to 2017, he served in various roles at Igenica Biotherapeutics, Inc., an immunotherapy company, including as Senior Director of Preclinical Development. Dr. van der Horst attended the University of Dusseldorf, holds a M.Sc. in Chemistry from Ludwig-Maximilians-Universitat Munchen and a Ph.D. in Biochemistry and Molecular Biology from Max-Plank-Institute for Biochemistry.</w:t>
      </w:r>
    </w:p>
    <w:p>
      <w:pPr>
        <w:pStyle w:val="TextBody"/>
        <w:spacing w:before="360" w:after="0"/>
        <w:ind w:left="0" w:right="0" w:hanging="0"/>
        <w:jc w:val="left"/>
        <w:rPr>
          <w:rFonts w:ascii="Times New Roman" w:hAnsi="Times New Roman"/>
          <w:sz w:val="20"/>
        </w:rPr>
      </w:pPr>
      <w:r>
        <w:rPr>
          <w:rFonts w:ascii="Times New Roman;serif" w:hAnsi="Times New Roman;serif"/>
          <w:b/>
          <w:sz w:val="20"/>
        </w:rPr>
        <w:t>Non-Employee Directors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sz w:val="20"/>
        </w:rPr>
        <w:t>William Ringo</w:t>
      </w:r>
      <w:r>
        <w:rPr>
          <w:rFonts w:ascii="Times New Roman" w:hAnsi="Times New Roman"/>
          <w:sz w:val="20"/>
        </w:rPr>
        <w:t xml:space="preserve"> </w:t>
      </w:r>
      <w:r>
        <w:rPr>
          <w:rFonts w:ascii="Times New Roman;serif" w:hAnsi="Times New Roman;serif"/>
          <w:b w:val="false"/>
          <w:sz w:val="20"/>
        </w:rPr>
        <w:t>has served as the chair of our board of directors since March 2022. Mr. Ringo most recently served as Interim Chief Executive Officer of Five Prime Therapeutics, Inc. (Five Prime) from September 2019 until April 2020. From 2010 until 2015, Mr. Ringo was a senior advisor with Barclays Capital, the global investment banking division of Barclays Bank PLC. From 2010 until 2015, Mr. Ringo served as a strategic advisor with Sofinnova Ventures, a life sciences-focused investment firm. Prior to his advisory roles with Barclays Capital and Sofinnova Ventures, Mr. Ringo served as Senior Vice President of Strategy and Business Development for Pfizer Inc., a biopharmaceutical company, from 2008 until his retirement in 2010. From 2004 to 2006, Mr. Ringo served as President and Chief Executive Officer of Abgenix, Inc., a biotechnology company acquired by Amgen, Inc. His experience in the global pharmaceutical sector also includes nearly 30 years with Lilly. Over the course of his career with Lilly, Mr. Ringo served in numerous executive roles, including Product Group President for oncology and critical care, President of internal medicine products, President of the infectious diseases business unit, and Vice President of sales and marketing for U.S. pharmaceuticals. He also was a member of Lilly’s operating committee. Mr. Ringo has been a director of Assembly Biosciences, Inc. since 2014 and has served as non-executive Chairman of the Board since 2015. In the last five years, Mr. Ringo was formerly a director of Five Prime, Immune Design Corp., Sangamo Biosciences, Inc., Mirati Technologies, Inc. and, prior to its being acquired by Lilly, Dermira, Inc. Mr. Ringo received a B.S. in business administration and an M.B.A. from the University of Dayton. We believe that Mr. Ringo’s significant scientific and board experience qualifies him to serve on our board of directors.</w:t>
      </w:r>
    </w:p>
    <w:p>
      <w:pPr>
        <w:pStyle w:val="TextBody"/>
        <w:spacing w:before="120" w:after="0"/>
        <w:ind w:left="0" w:right="0" w:firstLine="490"/>
        <w:jc w:val="left"/>
        <w:rPr>
          <w:rFonts w:ascii="Times New Roman" w:hAnsi="Times New Roman"/>
          <w:sz w:val="20"/>
        </w:rPr>
      </w:pPr>
      <w:r>
        <w:rPr>
          <w:rFonts w:ascii="Times New Roman;serif" w:hAnsi="Times New Roman;serif"/>
          <w:b/>
          <w:sz w:val="20"/>
        </w:rPr>
        <w:t>Bob Holmen</w:t>
      </w:r>
      <w:r>
        <w:rPr>
          <w:rFonts w:ascii="Times New Roman" w:hAnsi="Times New Roman"/>
          <w:sz w:val="20"/>
        </w:rPr>
        <w:t xml:space="preserve"> </w:t>
      </w:r>
      <w:r>
        <w:rPr>
          <w:rFonts w:ascii="Times New Roman;serif" w:hAnsi="Times New Roman;serif"/>
          <w:b w:val="false"/>
          <w:sz w:val="20"/>
        </w:rPr>
        <w:t>has served as a member of our board of directors since January 2017. Mr. Holmen provides legal services focused on venture capital and private equity markets to investors through his boutique law firm Investor Counsel, where he has served as a Principal since 2016. Mr. Holmen has also served as a Managing Director since 2001 and Chief Financial Officer since 2002 at Miramar Venture Partners, a venture capital firm, and as a Principal of Holmen Ventures, a strategic financial consulting firm, since 2013. Prior to Miramar, Mr. Holmen served as an Executive Officer for CoCensys, Inc., a biopharmaceutical company, and First Consulting Group, Inc., a healthcare consulting firm. Mr. Holmen received a B.S. in Electrical Engineering from Stanford University and a J.D. from University of California, Berkeley School of Law. We believe that Mr. Holmen’s education and professional background in advising companies in the biotechnology industry qualifies him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James Peyer, Ph.D.</w:t>
      </w:r>
      <w:r>
        <w:rPr>
          <w:rFonts w:ascii="Times New Roman" w:hAnsi="Times New Roman"/>
          <w:sz w:val="20"/>
        </w:rPr>
        <w:t xml:space="preserve"> </w:t>
      </w:r>
      <w:r>
        <w:rPr>
          <w:rFonts w:ascii="Times New Roman;serif" w:hAnsi="Times New Roman;serif"/>
          <w:b w:val="false"/>
          <w:sz w:val="20"/>
        </w:rPr>
        <w:t>has served as a member of our board of directors since January 2020. In September 2019, Dr. Peyer founded Cambrian Biopharma, where he serves as the Chief Executive Officer. In 2018, Dr. Peyer founded Cleara Biotech, a biopharmaceutical company, where he served as Executive Director from February 2018 to June 2019. Dr. Peyer also founded and served as Managing Partner at Apollo Health Ventures GmbH from 2016 until March 2019. Prior to his service at Apollo Ventures, Dr. Peyer served as a consultant at McKinsey &amp; Company from 2015 until 2016. Dr. Peyer received a B.A. in Biology from the University of Chicago and a Ph.D. in Stem Cell Biology at The University of Texas Southwestern Medical Center at Dallas. We believe that Dr. Peyer’s experience in the biopharmaceutical industry, his years of business and leadership experience and expertise qualifies him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Samuel Broder</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sz w:val="20"/>
        </w:rPr>
        <w:t>M.D.</w:t>
      </w:r>
      <w:r>
        <w:rPr>
          <w:rFonts w:ascii="Times New Roman" w:hAnsi="Times New Roman"/>
          <w:sz w:val="20"/>
        </w:rPr>
        <w:t xml:space="preserve"> </w:t>
      </w:r>
      <w:r>
        <w:rPr>
          <w:rFonts w:ascii="Times New Roman;serif" w:hAnsi="Times New Roman;serif"/>
          <w:b w:val="false"/>
          <w:sz w:val="20"/>
        </w:rPr>
        <w:t>has served as a member of our board of directors since April 2019. Prior to his retirement, Dr. Broder was Senior Vice President from 2012 to June 2016 and Head of the Health Sector from 2015 to 2016 for Intrexon Corporation, a synthetic biology company. Prior to Intrexon, he served as the Executive Vice President for Medical Affairs and Chief Medical Officer at Celera Corporation from 1998 to 2010. Prior to Celera, Dr. Broder served as Senior Vice President, Research and Development and Chief Scientific Officer at IVAX Corporation from 1995 to 1998. Dr. Broder served as the director of the National Cancer Institute from 1989 to 1995 appointed by President Ronald Reagan, where he oversaw the development of numerous anti-cancer therapeutic agents. Dr. Broder has served as a director of Orion Biotech Opportunities Corp. since 2021. Dr. Broder received a B.S. from University of Michigan and an M.D. from the University of Michigan Medical School, with post-graduate training at Stanford University in Palo Alto. We believe that Dr. Broder’s significant scientific experience with therapeutic agents qualifies him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Thomas Ricks</w:t>
      </w:r>
      <w:r>
        <w:rPr>
          <w:rFonts w:ascii="Times New Roman" w:hAnsi="Times New Roman"/>
          <w:sz w:val="20"/>
        </w:rPr>
        <w:t xml:space="preserve"> </w:t>
      </w:r>
      <w:r>
        <w:rPr>
          <w:rFonts w:ascii="Times New Roman;serif" w:hAnsi="Times New Roman;serif"/>
          <w:b w:val="false"/>
          <w:sz w:val="20"/>
        </w:rPr>
        <w:t>has served as a member of our board of directors since 2015. Mr. Ricks served as former Chief Investment Officer of H&amp;S Ventures, LLC, a Forbes 150 family office, from 2001 until his retirement in 2018. Prior to his service, Mr. Ricks served as Chief Executive Officer of The University of Texas Investment Management Company from 1996 to 2001. Mr. Ricks has</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ind w:left="0" w:right="0" w:hanging="0"/>
        <w:jc w:val="left"/>
        <w:rPr/>
      </w:pPr>
      <w:r>
        <w:rPr/>
        <w:t> </w:t>
      </w:r>
    </w:p>
    <w:p>
      <w:pPr>
        <w:pStyle w:val="TextBody"/>
        <w:spacing w:before="240" w:after="0"/>
        <w:ind w:left="0" w:right="0" w:hanging="0"/>
        <w:jc w:val="left"/>
        <w:rPr>
          <w:rFonts w:ascii="Times New Roman" w:hAnsi="Times New Roman"/>
          <w:sz w:val="20"/>
        </w:rPr>
      </w:pPr>
      <w:r>
        <w:rPr>
          <w:rFonts w:ascii="Times New Roman;serif" w:hAnsi="Times New Roman;serif"/>
          <w:b w:val="false"/>
          <w:sz w:val="20"/>
        </w:rPr>
        <w:t>been a director of Ovintiv, Inc. since 2019 and currently serves as Chair of the Human Resources and Compensation Committee, and on the Corporate Responsibility and Governance Committee. He was a director of Newfield Exploration Company from 1992 to 2019 and most recently served as Chair of its Audit Committee. Mr. Ricks also served on the boards of several privately-held companies; BDM International (acquired by TRW), LifeCell Corporation, and Argus Pharmaceuticals. Mr. Ricks is a former director of the Ocean Institute, and a former member of the Investment Committees for St. David’s Foundation and the University of California – Irvine Foundation. Mr. Ricks received a B.A. in Economics from Trinity College and an M.B.A. from the University of Chicago. We believe Mr. Ricks’ extensive experience as a director of public and private companies in the healthcare industry qualifies him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Deneen Vojta</w:t>
      </w:r>
      <w:r>
        <w:rPr>
          <w:rFonts w:ascii="Times New Roman;serif" w:hAnsi="Times New Roman;serif"/>
          <w:b/>
          <w:i/>
          <w:sz w:val="20"/>
        </w:rPr>
        <w:t xml:space="preserve">, </w:t>
      </w:r>
      <w:r>
        <w:rPr>
          <w:rFonts w:ascii="Times New Roman;serif" w:hAnsi="Times New Roman;serif"/>
          <w:b/>
          <w:sz w:val="20"/>
        </w:rPr>
        <w:t xml:space="preserve">M.D. </w:t>
      </w:r>
      <w:r>
        <w:rPr>
          <w:rFonts w:ascii="Times New Roman;serif" w:hAnsi="Times New Roman;serif"/>
          <w:b w:val="false"/>
          <w:sz w:val="20"/>
        </w:rPr>
        <w:t>has served as a member of our board of directors since January 2021. Dr. Vojta has served in various roles at UnitedHealth Group since 2006, including most recently as the Executive Vice President for Global Research &amp; Development since 2016. Prior to UnitedHealth, she founded Mynetico, a company focused on the childhood obesity epidemic, and served as its Chief Executive Officer from 2003 to 2006. Prior to that, she served as the Chief Medical Officer of Health Partners from 1997 to 2000 and Frankford Health System from 2000 to 2003. Dr. Vojta has been a director of HIKMA Pharmaceuticals since 2022. Dr. Vojta received a B.S. from the University of Pittsburgh and an M.D. from Temple University School of Medicine. We believe that Dr. Vojta’s significant scientific experience and experience as an executive of life sciences companies qualifies her to serve on our board of directors.</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 xml:space="preserve">Kristian Humer </w:t>
      </w:r>
      <w:r>
        <w:rPr>
          <w:rFonts w:ascii="Times New Roman;serif" w:hAnsi="Times New Roman;serif"/>
          <w:b w:val="false"/>
          <w:sz w:val="20"/>
        </w:rPr>
        <w:t>has served as a member of our board of directors since July 2021. Mr. Humer has served as the Chief Financial Officer and Chief Business Officer of Viridian Therapeutics Inc. since July 2021. Prior to Veridian, Mr. Humer served as Managing Director of Banking, Capital Markets and Advisory for the Global Healthcare team at Citigroup Inc., from 2017 to July 2021, where he helped lead the firm’s investment banking advisory engagements for small- and mid-sized biopharma and select large cap pharmaceutical companies. He previously served in a number of roles at Citigroup Inc., including Director, Healthcare Investment Banking from 2014 to 2016, Vice President, Healthcare Investment Banking from 2011 to 2013 and Associate, Healthcare Investment Banking in 2010. Prior to joining Citigroup Inc., Mr. Humer served as Vice President and Associate in the Investment Banking Division for the Global Healthcare team at Lehman Brothers, Inc. from 2007 to 2009. Mr. Humer started his career serving positions of increasing responsibility in the investment banking and private banking divisions of UBS AG and Merrill Lynch (a Bank of America company). He received an MBA from the Fuqua School of Business at Duke University and a B.A. (Hons) in Accounting &amp; Economics from the University of Reading, United Kingdom. We believe that Mr. Humer’s experience in the biopharmaceutical industry and his years of investment banking and leadership experience qualify him to serve on our board of directors.</w:t>
      </w:r>
    </w:p>
    <w:p>
      <w:pPr>
        <w:pStyle w:val="TextBody"/>
        <w:spacing w:before="240" w:after="0"/>
        <w:ind w:left="0" w:right="0" w:firstLine="490"/>
        <w:jc w:val="left"/>
        <w:rPr>
          <w:rFonts w:ascii="Times New Roman" w:hAnsi="Times New Roman"/>
          <w:sz w:val="20"/>
        </w:rPr>
      </w:pPr>
      <w:r>
        <w:rPr>
          <w:rFonts w:ascii="Times New Roman;serif" w:hAnsi="Times New Roman;serif"/>
          <w:b/>
          <w:sz w:val="20"/>
        </w:rPr>
        <w:t xml:space="preserve">Jessie M. English, Ph.D. </w:t>
      </w:r>
      <w:r>
        <w:rPr>
          <w:rFonts w:ascii="Times New Roman;serif" w:hAnsi="Times New Roman;serif"/>
          <w:b w:val="false"/>
          <w:sz w:val="20"/>
        </w:rPr>
        <w:t>has served as a member of our board of directors since April 2021. Dr. English served as the Chief Scientific Officer of Bakx Therapeutics, Inc. from November 2020 to November 2022. Prior to Bakx, Dr. English was the Chief Scientific officer at Tilos Therapeutics, Inc. from June 2018 to November 2019. Prior to that, she was the Vice President and Head of Discovery TIP-IO at EMD Serono, Merck KGaA from 2016 to May 2018. From 2012 to 2016, Dr. English served as the Head of Research at the Belfer Center Dana-Farber Cancer Institute, Harvard Medical School. Earlier in her career, she held various positions in the Department of Oncology Discovery at Schering-Plough Research Institute from 1998 to 2004, held various positions at Pfizer Research Technology Center from 2004 to 2008, was the Senior Director and External Discovery Oncology Lead at Merck Research Laboratories from 2008 to 2010 and was the Vice President, Kinase Biology at ArQule Inc. from 2010 to 2011. Dr. English received a B.S. in Biochemistry from Kansas State University, a Ph.D. in Neurobiology from the University of North Carolina at Chapel Hill and was a Postdoctoral Fellow at the University of Texas Southwestern Medical Center at Dallas. We believe that Dr. English’s significant scientific experience and experience as an executive of life sciences companies qualifies her to serve on our board of directors.</w:t>
      </w:r>
    </w:p>
    <w:p>
      <w:pPr>
        <w:pStyle w:val="TextBody"/>
        <w:spacing w:before="360" w:after="0"/>
        <w:ind w:left="0" w:right="0" w:hanging="0"/>
        <w:jc w:val="left"/>
        <w:rPr>
          <w:rFonts w:ascii="Times New Roman;serif" w:hAnsi="Times New Roman;serif"/>
          <w:b/>
          <w:sz w:val="20"/>
        </w:rPr>
      </w:pPr>
      <w:r>
        <w:rPr>
          <w:rFonts w:ascii="Times New Roman;serif" w:hAnsi="Times New Roman;serif"/>
          <w:b/>
          <w:sz w:val="20"/>
        </w:rPr>
        <w:t>Audit Committee</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Our Audit Committee is composed of three directors: Messrs. Ricks, Holmen and Humer.</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Board reviews the Nasdaq Stock Market (“Nasdaq”) listing standards definition of independence for Audit Committee members on an annual basis and has determined that all members of the Audit Committee are independent (as independence is currently defined in Rule 5605(c)(2)(A)(i) and (ii) of the Nasdaq listing standards and under Rule 10A-3 under the Exchange Act).</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Board has also determined that Mr. Ricks qualifies as an “audit committee financial expert,” as defined in applicable SEC rules. The Board made a qualitative assessment of Mr. Ricks’ level of knowledge and experience based on a number of factors, including his formal education and experience as a chief financial officer for public reporting companies.</w:t>
      </w:r>
    </w:p>
    <w:p>
      <w:pPr>
        <w:pStyle w:val="TextBody"/>
        <w:spacing w:before="360" w:after="0"/>
        <w:ind w:left="0" w:right="0" w:hanging="0"/>
        <w:jc w:val="left"/>
        <w:rPr>
          <w:rFonts w:ascii="Times New Roman;serif" w:hAnsi="Times New Roman;serif"/>
          <w:b/>
          <w:sz w:val="20"/>
        </w:rPr>
      </w:pPr>
      <w:r>
        <w:rPr>
          <w:rFonts w:ascii="Times New Roman;serif" w:hAnsi="Times New Roman;serif"/>
          <w:b/>
          <w:sz w:val="20"/>
        </w:rPr>
        <w:t>Stockholder Recommendation of Director Nominees</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The Nominating and Corporate Governance Committee will consider director candidates recommended by stockholders. The Nominating and Corporate Governance Committee does not intend to alter the manner in which it evaluates candidates based on whether or not the candidate was recommended by a stockholder. Stockholders who wish to recommend individuals for consideration</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ind w:left="0" w:right="0" w:hanging="0"/>
        <w:jc w:val="left"/>
        <w:rPr/>
      </w:pPr>
      <w:r>
        <w:rPr/>
        <w:t> </w:t>
      </w:r>
    </w:p>
    <w:p>
      <w:pPr>
        <w:pStyle w:val="TextBody"/>
        <w:spacing w:before="120" w:after="0"/>
        <w:ind w:left="0" w:right="0" w:hanging="0"/>
        <w:jc w:val="left"/>
        <w:rPr>
          <w:rFonts w:ascii="Times New Roman;serif" w:hAnsi="Times New Roman;serif"/>
          <w:b w:val="false"/>
          <w:sz w:val="20"/>
        </w:rPr>
      </w:pPr>
      <w:r>
        <w:rPr>
          <w:rFonts w:ascii="Times New Roman;serif" w:hAnsi="Times New Roman;serif"/>
          <w:b w:val="false"/>
          <w:sz w:val="20"/>
        </w:rPr>
        <w:t>by the Nominating and Corporate Governance Committee to become nominees for election to the Board may do so by delivering a written recommendation to the Nominating and Corporate Governance Committee at the following address: Secretary, Sensei Biotherapeutics, Inc., 1405 Research Blvd, Suite 125, Rockville, MD 20850, at least 90 days, but not more than 120 days, prior to the anniversary date of the mailing of our proxy statement for the preceding year’s annual meeting of stockholders. Submissions must include: (1) the name and address of the Company stockholder on whose behalf the submission is made; (2) the number of Company shares that are owned beneficially by such stockholder as of the date of the submission; (3) the full name, age, business address and residence address of the proposed candidate; (4) a description of the proposed candidate’s principal occupation or employment; (5) the class and number of shares of each class of capital stock of the corporation which are owned of record and beneficially by such proposed candidate; and (6) such additional information as is required by our amended and restated bylaws. Each submission must be accompanied by the written consent of the proposed candidate to be named as a nominee and to serve as a director if elected. In addition, shareholders who intend to solicit proxies in support of director nominees other than our nominees must also comply with the additional requirements of Rule 14a-19(b).</w:t>
      </w:r>
    </w:p>
    <w:p>
      <w:pPr>
        <w:pStyle w:val="TextBody"/>
        <w:spacing w:before="360" w:after="0"/>
        <w:ind w:left="0" w:right="0" w:hanging="0"/>
        <w:jc w:val="left"/>
        <w:rPr>
          <w:rFonts w:ascii="Times New Roman" w:hAnsi="Times New Roman"/>
          <w:sz w:val="20"/>
        </w:rPr>
      </w:pPr>
      <w:r>
        <w:rPr>
          <w:rFonts w:ascii="Times New Roman;serif" w:hAnsi="Times New Roman;serif"/>
          <w:b/>
          <w:sz w:val="20"/>
        </w:rPr>
        <w:t>Code of Business Conduct and Ethics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www.senseibio.com. The nominating and corporate governance committee is responsible for overseeing the Code of Conduct and must approve any waivers of the Code of Conduct for executive officers and directors. If we make any substantive amendments to the Code of Conduct or grants any waiver from a provision of the Code of Conduct to any executive officer or director, we will promptly disclose the nature of the amendment or waiver on our website. The reference to our website address does not constitute incorporation by reference of the information contained at or available through our website, and you should not consider it to be a part of this Amendment or the Form 10-K.</w:t>
      </w:r>
      <w:r>
        <w:rPr>
          <w:rFonts w:ascii="Times New Roman" w:hAnsi="Times New Roman"/>
          <w:sz w:val="20"/>
        </w:rPr>
        <w:t xml:space="preserve"> </w:t>
      </w:r>
    </w:p>
    <w:p>
      <w:pPr>
        <w:pStyle w:val="TextBody"/>
        <w:spacing w:before="240" w:after="240"/>
        <w:ind w:left="0" w:right="0" w:hanging="0"/>
        <w:jc w:val="left"/>
        <w:rPr>
          <w:rFonts w:ascii="Times New Roman;serif" w:hAnsi="Times New Roman;serif"/>
          <w:b/>
          <w:sz w:val="20"/>
        </w:rPr>
      </w:pPr>
      <w:r>
        <w:rPr>
          <w:rFonts w:ascii="Times New Roman;serif" w:hAnsi="Times New Roman;serif"/>
          <w:b/>
          <w:sz w:val="20"/>
        </w:rPr>
        <w:t>Section 16(a) Beneficial Ownership Reporting Compliance</w:t>
      </w:r>
    </w:p>
    <w:p>
      <w:pPr>
        <w:pStyle w:val="TextBody"/>
        <w:spacing w:before="120" w:after="120"/>
        <w:ind w:left="0" w:right="0" w:firstLine="490"/>
        <w:jc w:val="left"/>
        <w:rPr>
          <w:rFonts w:ascii="Times New Roman" w:hAnsi="Times New Roman"/>
          <w:sz w:val="20"/>
        </w:rPr>
      </w:pPr>
      <w:r>
        <w:rPr>
          <w:rFonts w:ascii="Times New Roman;serif" w:hAnsi="Times New Roman;serif"/>
          <w:b w:val="false"/>
          <w:sz w:val="20"/>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w:t>
      </w:r>
      <w:r>
        <w:rPr>
          <w:rFonts w:ascii="Times New Roman" w:hAnsi="Times New Roman"/>
          <w:sz w:val="20"/>
        </w:rPr>
        <w:t xml:space="preserve"> </w:t>
      </w:r>
    </w:p>
    <w:p>
      <w:pPr>
        <w:pStyle w:val="TextBody"/>
        <w:spacing w:before="120" w:after="360"/>
        <w:ind w:left="0" w:right="0" w:firstLine="490"/>
        <w:jc w:val="left"/>
        <w:rPr>
          <w:rFonts w:ascii="Times New Roman" w:hAnsi="Times New Roman"/>
          <w:sz w:val="20"/>
        </w:rPr>
      </w:pPr>
      <w:bookmarkStart w:id="4" w:name="item_11_executive_compensation"/>
      <w:bookmarkEnd w:id="4"/>
      <w:r>
        <w:rPr>
          <w:rFonts w:ascii="Times New Roman;serif" w:hAnsi="Times New Roman;serif"/>
          <w:b w:val="false"/>
          <w:sz w:val="20"/>
        </w:rPr>
        <w:t xml:space="preserve">To our knowledge, based solely on a review of our records and representations made by our directors and officers and certain of our more than 10% stockholders regarding their filing obligations, we believe that during the year ended December 31, 2022, our directors, executive officers and more than 10% stockholders complied with all applicable Section 16(a) filing requirement, other than one Form 4 that was filed late on February 8, 2022 by each of Cambrian BioPharma, Inc. and Dr. Peyer, one Form 4 that was filed late on July 19, 2022 by Apeiron Investment Group Ltd. and one amendment to a Form 4 that was filed on September 1, 2022 to amend a Form 4 previously filed on February 17, 2022 to correct the number of shares owned by Robert Pierce, our former Chief R&amp;D Officer. </w:t>
        <w:br/>
        <w:br/>
        <w:t> </w:t>
        <w:br/>
      </w:r>
      <w:r>
        <w:rPr>
          <w:rFonts w:ascii="Times New Roman;serif" w:hAnsi="Times New Roman;serif"/>
          <w:b/>
          <w:sz w:val="20"/>
        </w:rPr>
        <w:t>Item 11. Executive Compensation.</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Our named executive officers, consisting of our principal executive officer, our next two most highly compensated executive officers, and one former executive officer who would have been within the next two most highly compensated executive officers had he been serving as an executive officer as of December 31, 2022, for the fiscal year ended December 31, 2022 were:</w:t>
      </w:r>
    </w:p>
    <w:p>
      <w:pPr>
        <w:pStyle w:val="TextBody"/>
        <w:spacing w:before="120" w:after="0"/>
        <w:ind w:left="490" w:right="0" w:hanging="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John Celebi, our President and Chief Executive Officer; </w:t>
      </w:r>
    </w:p>
    <w:p>
      <w:pPr>
        <w:pStyle w:val="TextBody"/>
        <w:spacing w:before="120" w:after="0"/>
        <w:ind w:left="490" w:right="0" w:hanging="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Erin Colgan, our Chief Financial Officer; </w:t>
      </w:r>
    </w:p>
    <w:p>
      <w:pPr>
        <w:pStyle w:val="TextBody"/>
        <w:spacing w:before="120" w:after="0"/>
        <w:ind w:left="490" w:right="0" w:hanging="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Edward van der Horst, Ph.D., our Chief Scientific Officer; and </w:t>
      </w:r>
    </w:p>
    <w:p>
      <w:pPr>
        <w:pStyle w:val="TextBody"/>
        <w:spacing w:before="120" w:after="0"/>
        <w:ind w:left="490" w:right="0" w:hanging="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Robert Pierce, Ph.D., our former Chief R&amp;D Officer.</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ind w:left="0" w:right="0" w:hanging="0"/>
        <w:jc w:val="left"/>
        <w:rPr/>
      </w:pPr>
      <w:r>
        <w:rPr/>
        <w:t> </w:t>
      </w:r>
    </w:p>
    <w:p>
      <w:pPr>
        <w:pStyle w:val="TextBody"/>
        <w:spacing w:before="360" w:after="0"/>
        <w:ind w:left="0" w:right="0" w:hanging="0"/>
        <w:jc w:val="left"/>
        <w:rPr>
          <w:rFonts w:ascii="Times New Roman" w:hAnsi="Times New Roman"/>
          <w:sz w:val="20"/>
        </w:rPr>
      </w:pPr>
      <w:r>
        <w:rPr>
          <w:rFonts w:ascii="Times New Roman;serif" w:hAnsi="Times New Roman;serif"/>
          <w:b/>
          <w:sz w:val="20"/>
        </w:rPr>
        <w:t>Summary Compensation Table</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The following table sets forth information concerning the compensation of our named executive officers during the fiscal years ended December 31, 2022 and 2021:</w:t>
      </w:r>
      <w:r>
        <w:rPr>
          <w:rFonts w:ascii="Times New Roman" w:hAnsi="Times New Roman"/>
          <w:sz w:val="20"/>
        </w:rPr>
        <w:t xml:space="preserve"> </w:t>
      </w:r>
    </w:p>
    <w:tbl>
      <w:tblPr>
        <w:tblW w:w="10245" w:type="dxa"/>
        <w:jc w:val="left"/>
        <w:tblInd w:w="0" w:type="dxa"/>
        <w:tblCellMar>
          <w:top w:w="28" w:type="dxa"/>
          <w:left w:w="28" w:type="dxa"/>
          <w:bottom w:w="28" w:type="dxa"/>
          <w:right w:w="28" w:type="dxa"/>
        </w:tblCellMar>
      </w:tblPr>
      <w:tblGrid>
        <w:gridCol w:w="931"/>
        <w:gridCol w:w="146"/>
        <w:gridCol w:w="526"/>
        <w:gridCol w:w="146"/>
        <w:gridCol w:w="146"/>
        <w:gridCol w:w="781"/>
        <w:gridCol w:w="146"/>
        <w:gridCol w:w="146"/>
        <w:gridCol w:w="146"/>
        <w:gridCol w:w="781"/>
        <w:gridCol w:w="146"/>
        <w:gridCol w:w="146"/>
        <w:gridCol w:w="146"/>
        <w:gridCol w:w="931"/>
        <w:gridCol w:w="146"/>
        <w:gridCol w:w="146"/>
        <w:gridCol w:w="179"/>
        <w:gridCol w:w="962"/>
        <w:gridCol w:w="146"/>
        <w:gridCol w:w="271"/>
        <w:gridCol w:w="179"/>
        <w:gridCol w:w="962"/>
        <w:gridCol w:w="146"/>
        <w:gridCol w:w="376"/>
        <w:gridCol w:w="146"/>
        <w:gridCol w:w="931"/>
        <w:gridCol w:w="391"/>
      </w:tblGrid>
      <w:tr>
        <w:trPr/>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w:t>
              <w:br/>
              <w:t>Awards</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w:t>
              <w:br/>
              <w:t>Awards</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Non-Equity</w:t>
              <w:br/>
              <w:t>Incentive Plan</w:t>
              <w:br/>
              <w:t>Compensation</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 Other</w:t>
              <w:br/>
              <w:t>Compensation</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537,420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228,016</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59,176</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1,568,882</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6,116,715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264,000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41,912</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6,909,695</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132,020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16,808</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855,316</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764,586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123,600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1,217,778</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Ph.D.(2)</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326,923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103,543</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14,401</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654,404</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Chief Scientific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9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Pierce, M.D. (3)</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298,251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377,572</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1,187,277</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Former Chief R&amp;D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1,620,922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167,700</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62,791</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2,261,413</w:t>
            </w:r>
          </w:p>
        </w:tc>
        <w:tc>
          <w:tcPr>
            <w:tcW w:w="391" w:type="dxa"/>
            <w:tcBorders/>
            <w:shd w:fill="auto" w:val="clear"/>
            <w:vAlign w:val="center"/>
          </w:tcPr>
          <w:p>
            <w:pPr>
              <w:pStyle w:val="TableContents"/>
              <w:spacing w:before="0" w:after="0"/>
              <w:ind w:left="0" w:right="0" w:firstLine="200"/>
              <w:jc w:val="left"/>
              <w:rPr/>
            </w:pPr>
            <w:r>
              <w:rPr/>
              <w:t> </w:t>
            </w:r>
          </w:p>
        </w:tc>
      </w:tr>
      <w:tr>
        <w:trPr/>
        <w:tc>
          <w:tcPr>
            <w:tcW w:w="9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amounts disclosed represent the aggregate grant date fair value of the awards granted to our named executive officers during 2022 under our 2021 Equity Incentive Plan (the “2021 Plan”), computed in accordance with ASC Topic 718. The assumptions used in calculating the grant date fair value of the awards reported in this column are set forth in the notes to our audited consolidated financial statements included in our Form 10-K, filed with the SEC on March 29, 2023. These amounts do not reflect the actual economic value that may be realized by the named executive officer.</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Dr. van der Horst was promoted to Chief Scientific Officer and became an executive officer in December 2022.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December 2022, we notified Dr. Pierce that his employment would terminate, effective December 7, 2022.</w:t>
      </w:r>
    </w:p>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(4)</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Consists of (i) $152,771 paid in cash and (ii) $75,245 paid in the form of restricted stock units ("RSUs").</w:t>
      </w:r>
    </w:p>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(5)</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Consists of (i) $88,453 paid in cash and (ii) $43,567 paid in the form of RSUs.</w:t>
      </w:r>
    </w:p>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(6)</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Consists of (i) $69,374 paid in cash and (ii) $34,169 paid in the form of RSUs.</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Includes a housing allowance of $37,951, vehicle allowance, life insurance premiums, cell phone reimbursement and 401(k) plan matching contributions of $10,605.</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Includes life insurance premiums, cell phone reimbursement, legal fee reimbursement, commuter benefits and 401(k) plan matching contributions of $11,644.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Includes life insurance premiums, cell phone reimbursement, legal fee reimbursement, commuter benefits and 401(k) plan matching contributions of $11,039.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(10)</w:t>
      </w:r>
    </w:p>
    <w:p>
      <w:pPr>
        <w:pStyle w:val="TextBody"/>
        <w:jc w:val="left"/>
        <w:rPr>
          <w:rFonts w:ascii="Times New Roman;serif" w:hAnsi="Times New Roman;serif"/>
          <w:b w:val="false"/>
          <w:sz w:val="20"/>
        </w:rPr>
      </w:pPr>
      <w:r>
        <w:rPr>
          <w:rFonts w:ascii="Times New Roman;serif" w:hAnsi="Times New Roman;serif"/>
          <w:b w:val="false"/>
          <w:sz w:val="20"/>
        </w:rPr>
        <w:t>Includes a cash severance payment of $337,500, COBRA premium payments of $25,263, life insurance premiums, travel expense reimbursement and 401(k) plan matching contributions.</w:t>
      </w:r>
    </w:p>
    <w:p>
      <w:pPr>
        <w:pStyle w:val="TextBody"/>
        <w:spacing w:before="360" w:after="0"/>
        <w:ind w:left="0" w:right="0" w:hanging="0"/>
        <w:jc w:val="left"/>
        <w:rPr>
          <w:rFonts w:ascii="Times New Roman" w:hAnsi="Times New Roman"/>
          <w:sz w:val="20"/>
        </w:rPr>
      </w:pPr>
      <w:r>
        <w:rPr>
          <w:rFonts w:ascii="Times New Roman;serif" w:hAnsi="Times New Roman;serif"/>
          <w:b/>
          <w:sz w:val="20"/>
        </w:rPr>
        <w:t>Narrative to the Summary Compensation Table</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We review compensation annually for all employees, including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Our Compensation Committee generally strives to set cash compensation at approximately the 50th percentile of our peer company data for comparable positions and total equity award value between the 50th and 75th percentile, though variations on this pay positioning may occur from year to year.</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Compensation Committee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without members of management present, discusses and ultimately approves the compensation of our executive officers.</w:t>
      </w:r>
    </w:p>
    <w:p>
      <w:pPr>
        <w:pStyle w:val="TextBody"/>
        <w:spacing w:before="120" w:after="0"/>
        <w:ind w:left="244" w:right="0" w:hanging="0"/>
        <w:jc w:val="left"/>
        <w:rPr>
          <w:rFonts w:ascii="Times New Roman" w:hAnsi="Times New Roman"/>
          <w:sz w:val="20"/>
        </w:rPr>
      </w:pPr>
      <w:r>
        <w:rPr>
          <w:rFonts w:ascii="Times New Roman;serif" w:hAnsi="Times New Roman;serif"/>
          <w:b/>
          <w:i/>
          <w:sz w:val="20"/>
        </w:rPr>
        <w:t>Annual Base Salary</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Our named executive officers receive a base salary to compensate them for services rendered to us. The base salary payable to each named executive officer is intended to provide a fixed component of compensation reflecting the executive’s skill set,</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ind w:left="0" w:right="0" w:hanging="0"/>
        <w:jc w:val="left"/>
        <w:rPr/>
      </w:pPr>
      <w:r>
        <w:rPr/>
        <w:t> </w:t>
      </w:r>
    </w:p>
    <w:p>
      <w:pPr>
        <w:pStyle w:val="TextBody"/>
        <w:spacing w:before="120" w:after="0"/>
        <w:ind w:left="0" w:right="0" w:hanging="0"/>
        <w:jc w:val="left"/>
        <w:rPr>
          <w:rFonts w:ascii="Times New Roman;serif" w:hAnsi="Times New Roman;serif"/>
          <w:b w:val="false"/>
          <w:sz w:val="20"/>
        </w:rPr>
      </w:pPr>
      <w:r>
        <w:rPr>
          <w:rFonts w:ascii="Times New Roman;serif" w:hAnsi="Times New Roman;serif"/>
          <w:b w:val="false"/>
          <w:sz w:val="20"/>
        </w:rPr>
        <w:t>experience, role and responsibilities. Mr. Celebi’s annual base salary was $500,000 from January 1, 2022 to February 28, 2022 and was $515,000 from March 1, 2022 to December 31, 2022. Ms. Colgan’s annual base salary, which was adjusted in connection with her appointment to Chief Financial Officer effective January 2022, was $410,000 at all relevant dates in 2022. Dr. van der Horst’s annual base salary was $325,000 from January 1, 2022 to December 6, 2022 and $350,000 from December 7, 2022 to December 31, 2022 (with such increase approved in connection with his promotion to Chief Scientific Officer). Dr. Pierce's annual base salary was $450,000 at all relevant dates in 2022.</w:t>
      </w:r>
    </w:p>
    <w:p>
      <w:pPr>
        <w:pStyle w:val="TextBody"/>
        <w:spacing w:before="120" w:after="0"/>
        <w:ind w:left="244" w:right="0" w:hanging="0"/>
        <w:jc w:val="left"/>
        <w:rPr>
          <w:rFonts w:ascii="Times New Roman" w:hAnsi="Times New Roman"/>
          <w:sz w:val="20"/>
        </w:rPr>
      </w:pPr>
      <w:r>
        <w:rPr>
          <w:rFonts w:ascii="Times New Roman;serif" w:hAnsi="Times New Roman;serif"/>
          <w:b/>
          <w:i/>
          <w:sz w:val="20"/>
        </w:rPr>
        <w:t>Annual Bonus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We seek to motivate and reward our executives for achievements relative to our corporate goals and expectations and individual performance for each fiscal year. Our named executive officers are eligible to receive annual bonuses of up to a percentage of the applicable executive’s gross base salary based on performance metrics, as determined by our board of directors. For 2022, the target bonus for each of Mr. Celebi, Ms. Colgan and Dr. van der Horst was 55%, 40% and 35%, respectively, of their respective base salaries. Dr. Pierce’s target bonus was 40%, but he did not receive a bonus for 2022 because his employment ended during 2022. For 2023, the target bonus for Mr. Celebi is 55% and for each of Ms. Colgan and Dr. van der Horst is 40% of their respective base salaries. Dr. van der Horst’s target bonus percentage was increased in 2023 compared to 2022 as a result of his promotion to Chief Scientific Officer.</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actual performance-based annual bonus paid, if any, has historically been calculated by multiplying the executive’s annual base salary, target bonus percentage, the percentage attainment of the corporate goals established by the Board or Compensation Committee for such year, and the percentage attainment of individual goals. However, the Compensation Committee is not required to calculate bonuses in this manner and retains discretion in the amounts it awards and the factors it takes into consideration in determining bonus amounts. After the end of the year, the Compensation Committee reviews our performance against our goals and approves the extent to which our executives achieved each of our corporate and individual goals, as applicable, and, for each named executive officer, the amount of the bonus awarded.</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Our 2022 corporate goals consisted of research and development, business development and financial objectives. In early 2023, the Compensation Committee determined that the 2022 corporate goals were achieved at a 80.5% level. After considering the achievement of the 2022 corporate goals together with individual goals where applicable, the Compensation Committee awarded Mr. Celebi, Ms. Colgan and Dr. van der Horst 80.5%, 80.5% and 84.5% of their target bonuses, respectively, for the year ended December 31, 2022. The actual bonus amounts paid are reflected in the “Non-Equity Incentive Plan Compensation” column of the Summary Compensation Table above.</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connection with the approval of annual bonuses for the achievement of 2022 corporate goals, the Compensation Committee approved a one-time deviation in the method of payment of annual bonuses, pursuant to which certain members of our management team, including our named executive officers, were paid one-third of their annual bonuses in the form of RSUs in lieu of cash. The Compensation Committee approved this change in line with the belief that equity awards provide our executives with a strong link to our long-term performance, create an ownership culture, and help to align the interests of our executives and stockholders. In addition, awarding a portion of the annual bonuses in equity is anticipated to help preserve our cash for the continued development of our pipeline. The Compensation Committee effected this change for the 2022 performance period only.</w:t>
      </w:r>
    </w:p>
    <w:p>
      <w:pPr>
        <w:pStyle w:val="TextBody"/>
        <w:spacing w:before="120" w:after="120"/>
        <w:ind w:left="0" w:right="0" w:firstLine="490"/>
        <w:jc w:val="left"/>
        <w:rPr>
          <w:rFonts w:ascii="Times New Roman;serif" w:hAnsi="Times New Roman;serif"/>
          <w:b w:val="false"/>
          <w:sz w:val="20"/>
        </w:rPr>
      </w:pPr>
      <w:r>
        <w:rPr>
          <w:rFonts w:ascii="Times New Roman;serif" w:hAnsi="Times New Roman;serif"/>
          <w:b w:val="false"/>
          <w:sz w:val="20"/>
        </w:rPr>
        <w:t>Accordingly, the Compensation Committee approved the following annual bonuses for 2022 for the Company’s named executive officers, which are based on a partial achievement of 2022 corporate goals:</w:t>
      </w:r>
    </w:p>
    <w:tbl>
      <w:tblPr>
        <w:tblW w:w="7800" w:type="dxa"/>
        <w:jc w:val="left"/>
        <w:tblInd w:w="0" w:type="dxa"/>
        <w:tblCellMar>
          <w:top w:w="28" w:type="dxa"/>
          <w:left w:w="28" w:type="dxa"/>
          <w:bottom w:w="28" w:type="dxa"/>
          <w:right w:w="28" w:type="dxa"/>
        </w:tblCellMar>
      </w:tblPr>
      <w:tblGrid>
        <w:gridCol w:w="2386"/>
        <w:gridCol w:w="146"/>
        <w:gridCol w:w="418"/>
        <w:gridCol w:w="1547"/>
        <w:gridCol w:w="146"/>
        <w:gridCol w:w="146"/>
        <w:gridCol w:w="500"/>
        <w:gridCol w:w="2320"/>
        <w:gridCol w:w="1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2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of Common Stock</w:t>
            </w:r>
          </w:p>
        </w:tc>
        <w:tc>
          <w:tcPr>
            <w:tcW w:w="191" w:type="dxa"/>
            <w:tcBorders/>
            <w:shd w:fill="auto" w:val="clear"/>
            <w:vAlign w:val="center"/>
          </w:tcPr>
          <w:p>
            <w:pPr>
              <w:pStyle w:val="TableContents"/>
              <w:spacing w:before="0" w:after="0"/>
              <w:ind w:left="0" w:right="0" w:hanging="0"/>
              <w:jc w:val="center"/>
              <w:rPr/>
            </w:pPr>
            <w:r>
              <w:rPr/>
              <w:t> </w:t>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Cash (2/3 of Total Bonus)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underlying RSUs (1/3 of Total Bonus)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John Celebi</w:t>
            </w:r>
          </w:p>
        </w:tc>
        <w:tc>
          <w:tcPr>
            <w:tcW w:w="146" w:type="dxa"/>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152,771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23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51,893</w:t>
            </w:r>
          </w:p>
        </w:tc>
        <w:tc>
          <w:tcPr>
            <w:tcW w:w="1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Erin Colgan</w:t>
            </w:r>
          </w:p>
        </w:tc>
        <w:tc>
          <w:tcPr>
            <w:tcW w:w="146" w:type="dxa"/>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23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30,046</w:t>
            </w:r>
          </w:p>
        </w:tc>
        <w:tc>
          <w:tcPr>
            <w:tcW w:w="1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Edward van der Horst, Ph.D.</w:t>
            </w:r>
          </w:p>
        </w:tc>
        <w:tc>
          <w:tcPr>
            <w:tcW w:w="146" w:type="dxa"/>
            <w:tcBorders/>
            <w:shd w:fill="auto" w:val="clear"/>
            <w:vAlign w:val="center"/>
          </w:tcPr>
          <w:p>
            <w:pPr>
              <w:pStyle w:val="TableContents"/>
              <w:spacing w:before="0" w:after="0"/>
              <w:ind w:left="0" w:right="0" w:hanging="0"/>
              <w:jc w:val="left"/>
              <w:rPr/>
            </w:pPr>
            <w:r>
              <w:rPr/>
              <w:t> </w:t>
            </w:r>
          </w:p>
        </w:tc>
        <w:tc>
          <w:tcPr>
            <w:tcW w:w="4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23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RSUs were fully vested as of the grant date, February 15, 2023, and granted pursuant to the standard form of RSU grant notice and award agreement in substantially the form previously approved by the Board.</w:t>
      </w:r>
    </w:p>
    <w:p>
      <w:pPr>
        <w:pStyle w:val="TextBody"/>
        <w:spacing w:before="360" w:after="0"/>
        <w:ind w:left="244" w:right="0" w:hanging="0"/>
        <w:jc w:val="left"/>
        <w:rPr>
          <w:rFonts w:ascii="Times New Roman" w:hAnsi="Times New Roman"/>
          <w:sz w:val="20"/>
        </w:rPr>
      </w:pPr>
      <w:r>
        <w:rPr>
          <w:rFonts w:ascii="Times New Roman;serif" w:hAnsi="Times New Roman;serif"/>
          <w:b/>
          <w:i/>
          <w:sz w:val="20"/>
        </w:rPr>
        <w:t>Termination or Change in Control Benefits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Our named executive officers may become entitled to certain benefits in connection with a qualifying termination. Each of our named executive officers’ employment agreements entitles them to certain benefits, upon a qualifying termination. For additional discussion, please see “Employment Agreements with our Named Executive Officers.”</w:t>
      </w:r>
      <w:r>
        <w:rPr>
          <w:rFonts w:ascii="Times New Roman" w:hAnsi="Times New Roman"/>
          <w:sz w:val="20"/>
        </w:rPr>
        <w:t xml:space="preserve"> </w:t>
      </w:r>
    </w:p>
    <w:p>
      <w:pPr>
        <w:pStyle w:val="TextBody"/>
        <w:spacing w:before="360" w:after="0"/>
        <w:ind w:left="244" w:right="0" w:hanging="0"/>
        <w:jc w:val="left"/>
        <w:rPr>
          <w:rFonts w:ascii="Times New Roman" w:hAnsi="Times New Roman"/>
          <w:sz w:val="20"/>
        </w:rPr>
      </w:pPr>
      <w:r>
        <w:rPr>
          <w:rFonts w:ascii="Times New Roman;serif" w:hAnsi="Times New Roman;serif"/>
          <w:b/>
          <w:i/>
          <w:sz w:val="20"/>
        </w:rPr>
        <w:t>Health and Welfare; Perquisites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All of our current named executive officers are eligible to participate in our employee benefit plans, including our medical, dental, vision, disability and life insurance plans, in each case on the same basis as all of our other employees. We generally do not</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ind w:left="0" w:right="0" w:hanging="0"/>
        <w:jc w:val="left"/>
        <w:rPr/>
      </w:pPr>
      <w:r>
        <w:rPr/>
        <w:t> </w:t>
      </w:r>
    </w:p>
    <w:p>
      <w:pPr>
        <w:pStyle w:val="TextBody"/>
        <w:spacing w:before="120" w:after="0"/>
        <w:ind w:left="0" w:right="0" w:hanging="0"/>
        <w:jc w:val="left"/>
        <w:rPr>
          <w:rFonts w:ascii="Times New Roman" w:hAnsi="Times New Roman"/>
          <w:sz w:val="20"/>
        </w:rPr>
      </w:pPr>
      <w:r>
        <w:rPr>
          <w:rFonts w:ascii="Times New Roman;serif" w:hAnsi="Times New Roman;serif"/>
          <w:b w:val="false"/>
          <w:sz w:val="20"/>
        </w:rPr>
        <w:t>provide perquisites or personal benefits to our named executive officers, except in limited circumstances (including Mr. Celebi’s housing and vehicle allowances and the housing allowance provided to Dr. Pierce during his employment with us).</w:t>
      </w:r>
      <w:r>
        <w:rPr>
          <w:rFonts w:ascii="Times New Roman" w:hAnsi="Times New Roman"/>
          <w:sz w:val="20"/>
        </w:rPr>
        <w:t xml:space="preserve"> </w:t>
      </w:r>
    </w:p>
    <w:p>
      <w:pPr>
        <w:pStyle w:val="TextBody"/>
        <w:spacing w:before="360" w:after="0"/>
        <w:ind w:left="244" w:right="0" w:hanging="0"/>
        <w:jc w:val="left"/>
        <w:rPr>
          <w:rFonts w:ascii="Times New Roman" w:hAnsi="Times New Roman"/>
          <w:sz w:val="20"/>
        </w:rPr>
      </w:pPr>
      <w:r>
        <w:rPr>
          <w:rFonts w:ascii="Times New Roman;serif" w:hAnsi="Times New Roman;serif"/>
          <w:b/>
          <w:i/>
          <w:sz w:val="20"/>
        </w:rPr>
        <w:t>401(k) Plan</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We maintain a safe harbor 401(k) plan that provides eligible U.S. employees with an opportunity to save for retirement on a tax advantaged basis. Eligible employees are able to defer eligible compensation up to certain limits of the Internal Revenue Code (the "Code"), which are updated annually. We have the ability to make matching and discretionary contributions to the 401(k) plan. Currently, we make matching contributions or discretionary contributions to the 401(k) plan up to a maximum of 4% of such employee’s annual compensation.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r>
        <w:rPr>
          <w:rFonts w:ascii="Times New Roman" w:hAnsi="Times New Roman"/>
          <w:sz w:val="20"/>
        </w:rPr>
        <w:t xml:space="preserve"> </w:t>
      </w:r>
    </w:p>
    <w:p>
      <w:pPr>
        <w:pStyle w:val="TextBody"/>
        <w:spacing w:before="360" w:after="0"/>
        <w:ind w:left="244" w:right="0" w:hanging="0"/>
        <w:jc w:val="left"/>
        <w:rPr>
          <w:rFonts w:ascii="Times New Roman" w:hAnsi="Times New Roman"/>
          <w:sz w:val="20"/>
        </w:rPr>
      </w:pPr>
      <w:r>
        <w:rPr>
          <w:rFonts w:ascii="Times New Roman;serif" w:hAnsi="Times New Roman;serif"/>
          <w:b/>
          <w:i/>
          <w:sz w:val="20"/>
        </w:rPr>
        <w:t>Employment Agreements with our Named Executive Officers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Below are descriptions of our employment agreements with our named executive officers. The agreements generally provide for at-will employment and set forth the named executive officer’s initial base salary, eligibility for employee benefits and severance benefits upon a qualifying termination of employment. Furthermore, each of our named executive officers has executed a form of our standard proprietary information and inventions assignment agreement. The key terms of the employment agreements with our named executive officers, including potential payments upon termination or change of control, are described below.</w:t>
      </w:r>
    </w:p>
    <w:p>
      <w:pPr>
        <w:pStyle w:val="TextBody"/>
        <w:spacing w:before="360" w:after="0"/>
        <w:ind w:left="244" w:right="0" w:hanging="0"/>
        <w:jc w:val="left"/>
        <w:rPr>
          <w:rFonts w:ascii="Times New Roman" w:hAnsi="Times New Roman"/>
          <w:sz w:val="20"/>
        </w:rPr>
      </w:pPr>
      <w:r>
        <w:rPr>
          <w:rFonts w:ascii="Times New Roman;serif" w:hAnsi="Times New Roman;serif"/>
          <w:b w:val="false"/>
          <w:i/>
          <w:sz w:val="20"/>
        </w:rPr>
        <w:t>Employment Agreements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We have entered into employment agreements with our named executive officers, which for Mr. Celebi became effective upon the closing of our initial public offering. Our employment agreement with Ms. Colgan was most recently amendedted effective January 1, 2022 in connection with her appointment as our Chief Financial Officer. Our employment agreement with Dr. van der Horst was most recently amended and restated effective December 7, 2022 in connection with his appointment as our Chief Scientific Officer. The agreements generally provide for at-will employment and set forth the named executive officer’s base salary, target bonus and eligibility for employee benefits and severance benefits upon a qualifying termination of employment.</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employment agreements provide that, subject to certain conditions and limitations, upon the termination of the employment of an eligible executive officer without Cause or resignation for Good Reason (each, as defined in the employment agreements) not in connection with a Change in Control (as defined in each employment agreement):</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Mr. Celebi will be eligible to receive a cash severance benefit equal to 12 months’ base salary; Ms. Colgan and Dr. van der Horst will be eligible to receive a cash severance benefit equal to nine months’ base salary; and</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each executive officer shall be eligible to receive COBRA premiums for the applicable length of the severance period as described above.</w:t>
            </w:r>
          </w:p>
        </w:tc>
      </w:tr>
    </w:tbl>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addition, the employment agreements provide that, subject to certain conditions and limitations, upon the termination of the employment of an eligible executive officer without Cause or resignation for Good Reason (each, as defined in the employment agreements) within 12 months following a Change in Control:</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Mr. Celebi will be eligible to receive a cash severance benefit equal to 18 months’ base salary and 150% of his target bonus; Ms. Colgan and Dr. van der Horst will be eligible to receive a cash severance benefit equal to 12 months’ base salary and 100% of the officer’s target bonus;</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such executive officer shall be eligible to receive COBRA premiums for the applicable length of the severance period as described above; and</w:t>
            </w:r>
          </w:p>
        </w:tc>
      </w:tr>
    </w:tbl>
    <w:p>
      <w:pPr>
        <w:pStyle w:val="TextBody"/>
        <w:spacing w:before="0" w:after="0"/>
        <w:ind w:left="0" w:right="0" w:hanging="0"/>
        <w:jc w:val="left"/>
        <w:rPr/>
      </w:pPr>
      <w:r>
        <w:rPr/>
        <w:t> </w:t>
      </w:r>
    </w:p>
    <w:tbl>
      <w:tblPr>
        <w:tblW w:w="9819" w:type="dxa"/>
        <w:jc w:val="left"/>
        <w:tblInd w:w="0" w:type="dxa"/>
        <w:tblCellMar>
          <w:top w:w="28" w:type="dxa"/>
          <w:left w:w="28" w:type="dxa"/>
          <w:bottom w:w="28" w:type="dxa"/>
          <w:right w:w="28" w:type="dxa"/>
        </w:tblCellMar>
      </w:tblPr>
      <w:tblGrid>
        <w:gridCol w:w="161"/>
        <w:gridCol w:w="256"/>
        <w:gridCol w:w="146"/>
        <w:gridCol w:w="92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unvested equity awards held by such executive officer will become immediately vested and fully exercisable.</w:t>
            </w:r>
          </w:p>
        </w:tc>
      </w:tr>
    </w:tbl>
    <w:p>
      <w:pPr>
        <w:pStyle w:val="TextBody"/>
        <w:spacing w:before="0" w:after="0"/>
        <w:ind w:left="0" w:right="0" w:hanging="0"/>
        <w:jc w:val="left"/>
        <w:rPr/>
      </w:pPr>
      <w:r>
        <w:rPr/>
        <w:t>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severance benefits described above are conditioned upon the executive officer’s execution and non-revocation of a separation agreement, including a release of claims, and compliance with certain restrictive covenants.</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ind w:left="0" w:right="0" w:hanging="0"/>
        <w:jc w:val="left"/>
        <w:rPr/>
      </w:pPr>
      <w:r>
        <w:rPr/>
        <w:t> </w:t>
      </w:r>
    </w:p>
    <w:p>
      <w:pPr>
        <w:pStyle w:val="TextBody"/>
        <w:spacing w:before="360" w:after="0"/>
        <w:ind w:left="244" w:right="0" w:hanging="0"/>
        <w:jc w:val="left"/>
        <w:rPr>
          <w:rFonts w:ascii="Times New Roman" w:hAnsi="Times New Roman"/>
          <w:sz w:val="20"/>
        </w:rPr>
      </w:pPr>
      <w:r>
        <w:rPr>
          <w:rFonts w:ascii="Times New Roman;serif" w:hAnsi="Times New Roman;serif"/>
          <w:b w:val="false"/>
          <w:i/>
          <w:sz w:val="20"/>
        </w:rPr>
        <w:t>Severance Benefits for Dr. Pierce</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Our employment agreement with Dr. Pierce became effective upon the closing of our initial public offering. In December 2022, we notified Dr. Pierce that his employment as Chief R&amp;D Officer of the Company would terminate, effective as of December 7, 2022. In accordance with his employment agreement, contingent upon Dr. Pierce’s execution of a separation agreement, including a release of claims and compliance with certain restrictive covenants, Dr. Pierce was provided severance benefits consisting of an amount equal to Dr. Pierce’s then-current salary for nine months and continued COBRA premiums for nine months.</w:t>
      </w:r>
      <w:r>
        <w:rPr>
          <w:rFonts w:ascii="Times New Roman" w:hAnsi="Times New Roman"/>
          <w:sz w:val="20"/>
        </w:rPr>
        <w:t xml:space="preserve"> </w:t>
      </w:r>
    </w:p>
    <w:p>
      <w:pPr>
        <w:pStyle w:val="TextBody"/>
        <w:spacing w:before="360" w:after="0"/>
        <w:ind w:left="244" w:right="0" w:hanging="0"/>
        <w:jc w:val="left"/>
        <w:rPr>
          <w:rFonts w:ascii="Times New Roman" w:hAnsi="Times New Roman"/>
          <w:sz w:val="20"/>
        </w:rPr>
      </w:pPr>
      <w:r>
        <w:rPr>
          <w:rFonts w:ascii="Times New Roman;serif" w:hAnsi="Times New Roman;serif"/>
          <w:b w:val="false"/>
          <w:i/>
          <w:sz w:val="20"/>
        </w:rPr>
        <w:t>Consulting Agreement with Dr. Pierce</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addition to the above, in connection with Dr. Pierce's separation of employment he agreed to serve as a consultant for the Company, effective December 7, 2022. In connection therewith, we entered into a consulting agreement with Dr. Pierce’s consulting entity, pursuant to which Dr. Pierce provides consulting services to the Company (the “Consulting Agreement”), including the following compensation terms: (i) a 6-month cash retainer at $12,800 per month for up to 32 hours of consulting services per month, with an hourly rate of $400 per hour if the consulting services exceed 32 hours (the “Retainer Period”), (ii) an hourly rate of $500 per hour for up to 8 hours of consulting services per week following the Retainer Period and (iii) continued vesting of outstanding equity awards held by Dr. Pierce during the term of the Consulting Agreement, and an extension of the exercise period for Dr. Pierce’s outstanding stock options (as of the effective date of the Consulting Agreement, and to the extent then-vested and that subsequently become vested) to the latter of (A) December 7, 2025 or (B) until such time as provided for in the applicable equity plan and Dr. Pierce’s applicable option award agreement.</w:t>
      </w:r>
    </w:p>
    <w:p>
      <w:pPr>
        <w:pStyle w:val="TextBody"/>
        <w:spacing w:before="360" w:after="0"/>
        <w:ind w:left="244" w:right="0" w:hanging="0"/>
        <w:jc w:val="left"/>
        <w:rPr>
          <w:rFonts w:ascii="Times New Roman" w:hAnsi="Times New Roman"/>
          <w:sz w:val="20"/>
        </w:rPr>
      </w:pPr>
      <w:r>
        <w:rPr>
          <w:rFonts w:ascii="Times New Roman;serif" w:hAnsi="Times New Roman;serif"/>
          <w:b/>
          <w:i/>
          <w:sz w:val="20"/>
        </w:rPr>
        <w:t>Equity-Based Incentive Awards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We believe that equity awards provide our executives with a strong link to our long-term performance, create an ownership culture and help to align the interests of our executives and our stockholders. We believe that our equity awards are an important retention tool for our executive officers, as well as for our other employees.</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We award equity awards broadly to our employees. Grants to our executives and other employees are made at the discretion of our board of directors and Compensation Committee.</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Prior to 2022, we only used stock option grants for this purpose because we believed they are an effective means by which to align the long-term interests of our executive officers with those of our stockholders. The use of stock options also can provide tax and other advantages to our executive officers relative to other forms of equity compensation.</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Beginning in 2022, we introduced a mix of RSUs and stock options for compensating our employees. In January 2022, Mr. Celebi, Ms. Colgan, Dr. van der Horst and Dr. Pierce were granted annual equity grants consisting of 53,900, 21,000, 21,000 and 21,000 RSUs, respectively, and stock options to purchase 161,600 shares, 62,000 shares, 44,000 shares and 62,000 shares, respectively, each effective as of February 15, 2022. The RSUs vest in four equal installments on February 15, 2023, February 15, 2024, February 15, 2025 and February 15, 2026, subject to the officer’s continuous service as of the applicable vesting date. One-fourth of the shares underlying the stock options vest on February 15, 2023, with the remainder vesting monthly over the remaining 36 months.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For additional information about equity grants made historically to our named executive officers, please see “—Outstanding Equity Awards as of December 31, 2022” below</w:t>
      </w:r>
      <w:r>
        <w:rPr>
          <w:rFonts w:ascii="Times New Roman;serif" w:hAnsi="Times New Roman;serif"/>
          <w:b w:val="false"/>
          <w:sz w:val="24"/>
        </w:rPr>
        <w:t>.</w:t>
      </w:r>
    </w:p>
    <w:p>
      <w:pPr>
        <w:pStyle w:val="TextBody"/>
        <w:spacing w:before="360" w:after="0"/>
        <w:ind w:left="0" w:right="0" w:hanging="0"/>
        <w:jc w:val="left"/>
        <w:rPr>
          <w:rFonts w:ascii="Times New Roman;serif" w:hAnsi="Times New Roman;serif"/>
          <w:b/>
          <w:sz w:val="20"/>
        </w:rPr>
      </w:pPr>
      <w:r>
        <w:rPr>
          <w:rFonts w:ascii="Times New Roman;serif" w:hAnsi="Times New Roman;serif"/>
          <w:b/>
          <w:sz w:val="20"/>
        </w:rPr>
        <w:t>Outstanding Equity Awards as of December 31, 2022</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following table sets forth certain information about equity awards granted to our named executive officers outstanding as of December 31, 2022:</w:t>
      </w:r>
    </w:p>
    <w:p>
      <w:pPr>
        <w:pStyle w:val="TextBody"/>
        <w:spacing w:before="0" w:after="0"/>
        <w:ind w:left="0" w:right="0" w:hanging="0"/>
        <w:jc w:val="left"/>
        <w:rPr/>
      </w:pPr>
      <w:r>
        <w:rPr/>
        <w:t>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ind w:left="0" w:right="0" w:hanging="0"/>
        <w:jc w:val="left"/>
        <w:rPr/>
      </w:pPr>
      <w:r>
        <w:rPr/>
        <w:t> </w:t>
      </w:r>
    </w:p>
    <w:tbl>
      <w:tblPr>
        <w:tblW w:w="10205" w:type="dxa"/>
        <w:jc w:val="left"/>
        <w:tblInd w:w="0" w:type="dxa"/>
        <w:tblCellMar>
          <w:top w:w="28" w:type="dxa"/>
          <w:left w:w="28" w:type="dxa"/>
          <w:bottom w:w="28" w:type="dxa"/>
          <w:right w:w="28" w:type="dxa"/>
        </w:tblCellMar>
      </w:tblPr>
      <w:tblGrid>
        <w:gridCol w:w="832"/>
        <w:gridCol w:w="146"/>
        <w:gridCol w:w="614"/>
        <w:gridCol w:w="146"/>
        <w:gridCol w:w="146"/>
        <w:gridCol w:w="886"/>
        <w:gridCol w:w="146"/>
        <w:gridCol w:w="146"/>
        <w:gridCol w:w="157"/>
        <w:gridCol w:w="954"/>
        <w:gridCol w:w="146"/>
        <w:gridCol w:w="305"/>
        <w:gridCol w:w="146"/>
        <w:gridCol w:w="226"/>
        <w:gridCol w:w="766"/>
        <w:gridCol w:w="146"/>
        <w:gridCol w:w="146"/>
        <w:gridCol w:w="903"/>
        <w:gridCol w:w="146"/>
        <w:gridCol w:w="176"/>
        <w:gridCol w:w="923"/>
        <w:gridCol w:w="146"/>
        <w:gridCol w:w="146"/>
        <w:gridCol w:w="276"/>
        <w:gridCol w:w="935"/>
        <w:gridCol w:w="146"/>
        <w:gridCol w:w="354"/>
      </w:tblGrid>
      <w:tr>
        <w:trPr/>
        <w:tc>
          <w:tcPr>
            <w:tcW w:w="8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8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Securities</w:t>
              <w:br/>
              <w:t>Underlying</w:t>
              <w:br/>
              <w:t>Unexercised</w:t>
              <w:br/>
              <w:t>Options</w:t>
              <w:br/>
              <w:t>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Securities</w:t>
              <w:br/>
              <w:t>Underlying</w:t>
              <w:br/>
              <w:t>Unexercised</w:t>
              <w:br/>
              <w:t>Options</w:t>
              <w:br/>
              <w:t>Unexercisable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or units of stock that have not vested</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Market value of shares of units of stock that have not vested (8)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161,600</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53,900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80,311</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190,971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225,695</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396,223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163,152</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2/22/2018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26,666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122.88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4/1/2028</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62,000</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31,290</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23,871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28,212</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8/5/2020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37,760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24,740</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(4)</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44,000</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14,700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21,903</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10/8/2021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5,832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14,168</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10/31/2031</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33,419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39,497</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39,105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16,103</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9/3/2019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2,539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586</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9/2/2029</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Pierce, M.D.</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62,000</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31,290</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50,607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59,809</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3/18/2020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122.38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8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1/22/2019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143,228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65,105</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2"/>
              </w:rPr>
            </w:pPr>
            <w:r>
              <w:rPr>
                <w:rFonts w:ascii="Times New Roman;serif" w:hAnsi="Times New Roman;serif"/>
                <w:b w:val="false"/>
                <w:sz w:val="22"/>
              </w:rPr>
              <w:t>1/21/2029</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bl>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unvested shares underlying this option vest 25% on February 15, 2023 and thereafter in 36 equal monthly installments until February 15, 2026,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26 equal monthly installments until February 15, 2025,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14 equal monthly installments until February 15, 2024,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19 equal monthly installments until July 13, 2024,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33 equal monthly installments until October 8, 2025,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15 equal monthly installments until March 18, 2024,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unvested shares underlying this RSU vest 25% on February 15, 2023, and thereafter in 3 equal annual installments until February 15, 2026, subject to the officer’s continued service through each applicable vesting date.</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(8)</w:t>
      </w:r>
    </w:p>
    <w:p>
      <w:pPr>
        <w:pStyle w:val="TextBody"/>
        <w:jc w:val="left"/>
        <w:rPr>
          <w:rFonts w:ascii="Times New Roman;serif" w:hAnsi="Times New Roman;serif"/>
          <w:b w:val="false"/>
          <w:sz w:val="20"/>
        </w:rPr>
      </w:pPr>
      <w:r>
        <w:rPr>
          <w:rFonts w:ascii="Times New Roman;serif" w:hAnsi="Times New Roman;serif"/>
          <w:b w:val="false"/>
          <w:sz w:val="20"/>
        </w:rPr>
        <w:t>The market value amount is calculated based on the closing price of our common stock of $1.49 per share on December 30, 2022.</w:t>
      </w:r>
    </w:p>
    <w:p>
      <w:pPr>
        <w:pStyle w:val="TextBody"/>
        <w:spacing w:before="360" w:after="0"/>
        <w:ind w:left="0" w:right="0" w:hanging="0"/>
        <w:jc w:val="left"/>
        <w:rPr>
          <w:rFonts w:ascii="Times New Roman" w:hAnsi="Times New Roman"/>
          <w:sz w:val="20"/>
        </w:rPr>
      </w:pPr>
      <w:r>
        <w:rPr>
          <w:rFonts w:ascii="Times New Roman;serif" w:hAnsi="Times New Roman;serif"/>
          <w:b/>
          <w:sz w:val="20"/>
        </w:rPr>
        <w:t>Non-Employee Director Compensation</w:t>
      </w:r>
      <w:r>
        <w:rPr>
          <w:rFonts w:ascii="Times New Roman" w:hAnsi="Times New Roman"/>
          <w:sz w:val="20"/>
        </w:rPr>
        <w:t xml:space="preserve"> </w:t>
      </w:r>
    </w:p>
    <w:p>
      <w:pPr>
        <w:pStyle w:val="TextBody"/>
        <w:spacing w:before="240" w:after="0"/>
        <w:ind w:left="0" w:right="0" w:firstLine="490"/>
        <w:jc w:val="left"/>
        <w:rPr>
          <w:rFonts w:ascii="Times New Roman" w:hAnsi="Times New Roman"/>
          <w:sz w:val="20"/>
        </w:rPr>
      </w:pPr>
      <w:r>
        <w:rPr>
          <w:rFonts w:ascii="Times New Roman;serif" w:hAnsi="Times New Roman;serif"/>
          <w:b w:val="false"/>
          <w:sz w:val="20"/>
        </w:rPr>
        <w:t>The following table sets forth information regarding the compensation earned or paid to our non-employee directors during the year ended December 31, 2022. John Celebi, our President and Chief Executive Officer, is also a member of our board of directors,</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ind w:left="0" w:right="0" w:hanging="0"/>
        <w:jc w:val="left"/>
        <w:rPr/>
      </w:pPr>
      <w:r>
        <w:rPr/>
        <w:t> </w:t>
      </w:r>
    </w:p>
    <w:p>
      <w:pPr>
        <w:pStyle w:val="TextBody"/>
        <w:spacing w:before="240" w:after="0"/>
        <w:ind w:left="0" w:right="0" w:hanging="0"/>
        <w:jc w:val="left"/>
        <w:rPr>
          <w:rFonts w:ascii="Times New Roman" w:hAnsi="Times New Roman"/>
          <w:sz w:val="20"/>
        </w:rPr>
      </w:pPr>
      <w:r>
        <w:rPr>
          <w:rFonts w:ascii="Times New Roman;serif" w:hAnsi="Times New Roman;serif"/>
          <w:b w:val="false"/>
          <w:sz w:val="20"/>
        </w:rPr>
        <w:t>but did not receive any additional compensation for service as a director. The compensation of Mr. Celebi as a named executive officer is set forth above under “Executive Compensation—Summary Compensation Table.”</w:t>
      </w:r>
      <w:r>
        <w:rPr>
          <w:rFonts w:ascii="Times New Roman" w:hAnsi="Times New Roman"/>
          <w:sz w:val="20"/>
        </w:rPr>
        <w:t xml:space="preserve"> </w:t>
      </w:r>
    </w:p>
    <w:p>
      <w:pPr>
        <w:pStyle w:val="TextBody"/>
        <w:spacing w:before="0" w:after="0"/>
        <w:ind w:left="0" w:right="0" w:hanging="0"/>
        <w:jc w:val="left"/>
        <w:rPr/>
      </w:pPr>
      <w:r>
        <w:rPr/>
        <w:t> </w:t>
      </w:r>
    </w:p>
    <w:tbl>
      <w:tblPr>
        <w:tblW w:w="8188" w:type="dxa"/>
        <w:jc w:val="left"/>
        <w:tblInd w:w="0" w:type="dxa"/>
        <w:tblCellMar>
          <w:top w:w="28" w:type="dxa"/>
          <w:left w:w="28" w:type="dxa"/>
          <w:bottom w:w="28" w:type="dxa"/>
          <w:right w:w="28" w:type="dxa"/>
        </w:tblCellMar>
      </w:tblPr>
      <w:tblGrid>
        <w:gridCol w:w="1786"/>
        <w:gridCol w:w="146"/>
        <w:gridCol w:w="235"/>
        <w:gridCol w:w="755"/>
        <w:gridCol w:w="146"/>
        <w:gridCol w:w="146"/>
        <w:gridCol w:w="211"/>
        <w:gridCol w:w="676"/>
        <w:gridCol w:w="146"/>
        <w:gridCol w:w="146"/>
        <w:gridCol w:w="211"/>
        <w:gridCol w:w="676"/>
        <w:gridCol w:w="146"/>
        <w:gridCol w:w="146"/>
        <w:gridCol w:w="307"/>
        <w:gridCol w:w="834"/>
        <w:gridCol w:w="146"/>
        <w:gridCol w:w="146"/>
        <w:gridCol w:w="211"/>
        <w:gridCol w:w="781"/>
        <w:gridCol w:w="1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Fees Earned</w:t>
              <w:br/>
              <w:t>or Paid in</w:t>
              <w:br/>
              <w:t>Cash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w:t>
              <w:br/>
              <w:t>Awards</w:t>
              <w:b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w:t>
              <w:br/>
              <w:t>Awards</w:t>
              <w:br/>
              <w:t>($)(1)(3)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 other</w:t>
              <w:br/>
              <w:t>Compensation</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Sam Broder, M.D</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79,283</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79,033</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Bob Holmen</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75,033</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88,928</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 (4)</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200,080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Tom Ricks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93,596</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81,610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xml:space="preserve">Amounts reported represent the aggregate grant date fair value of option awards granted to our directors during 2022 under our 2021 Plan, computed in accordance with ASC Topic 718. The assumptions used in calculating the grant date fair value of the awards reported in this column are set forth in the notes to our audited consolidated financial statements included in our Form 10-K, filed with the SEC on March 29, 2023. These amounts do not reflect the actual economic value that may be realized by the non-employee director.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(other than for Mr. Ringo) 4,466 RSUs granted on June 10, 2022, and for Mr. Ringo 18,933 RSUs granted on March 8, 2022. As of December 31, 2022, Dr. Broder, Dr. English, Mr. Holmen, Mr. Humer, Dr. Peyer, Mr. Ricks and Dr. Vojta each held 4,466 RSUs and Mr. Ringo held 18,933 RSUs.</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(other than for Mr. Ringo) an option to purchase 14,550 shares of our common stock granted on June 10, 2022 at an exercise price of $2.05 per share, and for Mr. Ringo an option to purchase 29,100 shares of our common stock granted on March 8, 2022, at an exercise price of $3.08 per share. As of December 31, 2022, Dr. Broder, Dr. English, Mr. Holmen, Mr. Humer, Dr. Peyer, Mr. Ringo, Mr. Ricks and Dr. Vojta held options to purchase 51,361, 31,217, 74,361, 31,217, 50,736, 29,100, 51,986 and 31,216 shares of our common stock, respectively.</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Mr. Ringo joined our board of directors in March 2022.</w:t>
      </w:r>
    </w:p>
    <w:p>
      <w:pPr>
        <w:pStyle w:val="TextBody"/>
        <w:spacing w:before="360" w:after="0"/>
        <w:ind w:left="244" w:right="0" w:hanging="0"/>
        <w:jc w:val="left"/>
        <w:rPr>
          <w:rFonts w:ascii="Times New Roman" w:hAnsi="Times New Roman"/>
          <w:sz w:val="20"/>
        </w:rPr>
      </w:pPr>
      <w:r>
        <w:rPr>
          <w:rFonts w:ascii="Times New Roman;serif" w:hAnsi="Times New Roman;serif"/>
          <w:b w:val="false"/>
          <w:i/>
          <w:sz w:val="20"/>
        </w:rPr>
        <w:t>Non-Employee Director Compensation Policy</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Following recommendation from the compensation committee, in April 2022 our board of directors amended our non-employee director compensation policy. As amended, each such non-employee director receives the compensation described below for service on our board of directors:</w:t>
      </w:r>
    </w:p>
    <w:p>
      <w:pPr>
        <w:pStyle w:val="TextBody"/>
        <w:spacing w:before="120" w:after="120"/>
        <w:ind w:left="0" w:right="0" w:firstLine="490"/>
        <w:jc w:val="left"/>
        <w:rPr>
          <w:rFonts w:ascii="Times New Roman" w:hAnsi="Times New Roman"/>
          <w:sz w:val="20"/>
        </w:rPr>
      </w:pPr>
      <w:r>
        <w:rPr>
          <w:rFonts w:ascii="Times New Roman;serif" w:hAnsi="Times New Roman;serif"/>
          <w:b w:val="false"/>
          <w:i/>
          <w:sz w:val="20"/>
        </w:rPr>
        <w:t>Cash compensation</w:t>
      </w:r>
      <w:r>
        <w:rPr>
          <w:rFonts w:ascii="Times New Roman;serif" w:hAnsi="Times New Roman;serif"/>
          <w:b w:val="false"/>
          <w:sz w:val="20"/>
        </w:rPr>
        <w:t>. We pay each of our non-employee directors cash retainers for service on our board of directors and committees of our board of directors as follows:</w:t>
      </w:r>
    </w:p>
    <w:tbl>
      <w:tblPr>
        <w:tblW w:w="10034" w:type="dxa"/>
        <w:jc w:val="left"/>
        <w:tblInd w:w="0" w:type="dxa"/>
        <w:tblCellMar>
          <w:top w:w="28" w:type="dxa"/>
          <w:left w:w="28" w:type="dxa"/>
          <w:bottom w:w="28" w:type="dxa"/>
          <w:right w:w="28" w:type="dxa"/>
        </w:tblCellMar>
      </w:tblPr>
      <w:tblGrid>
        <w:gridCol w:w="7486"/>
        <w:gridCol w:w="146"/>
        <w:gridCol w:w="146"/>
        <w:gridCol w:w="349"/>
        <w:gridCol w:w="1616"/>
        <w:gridCol w:w="291"/>
      </w:tblGrid>
      <w:tr>
        <w:trPr/>
        <w:tc>
          <w:tcPr>
            <w:tcW w:w="7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7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7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Annual Cash Retainer ($)</w:t>
            </w:r>
          </w:p>
        </w:tc>
        <w:tc>
          <w:tcPr>
            <w:tcW w:w="291" w:type="dxa"/>
            <w:tcBorders/>
            <w:shd w:fill="auto" w:val="clear"/>
            <w:vAlign w:val="center"/>
          </w:tcPr>
          <w:p>
            <w:pPr>
              <w:pStyle w:val="TableContents"/>
              <w:spacing w:before="0" w:after="0"/>
              <w:ind w:left="0" w:right="0" w:firstLine="100"/>
              <w:jc w:val="center"/>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Annual retainer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independent chair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audit committee chair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audit committee non-chair member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compensation committee chair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compensation committee non-chair member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nominating and corporate governance committee chair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nominating and corporate governance committee non-chair member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science and technology committee chair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291" w:type="dxa"/>
            <w:tcBorders/>
            <w:shd w:fill="auto" w:val="clear"/>
            <w:vAlign w:val="center"/>
          </w:tcPr>
          <w:p>
            <w:pPr>
              <w:pStyle w:val="TableContents"/>
              <w:spacing w:before="0" w:after="0"/>
              <w:ind w:left="0" w:right="0" w:firstLine="100"/>
              <w:jc w:val="left"/>
              <w:rPr/>
            </w:pPr>
            <w:r>
              <w:rPr/>
              <w:t> </w:t>
            </w:r>
          </w:p>
        </w:tc>
      </w:tr>
      <w:tr>
        <w:trPr/>
        <w:tc>
          <w:tcPr>
            <w:tcW w:w="74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science and technology committee non-chair member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120" w:after="0"/>
        <w:ind w:left="0" w:right="0" w:firstLine="490"/>
        <w:jc w:val="left"/>
        <w:rPr>
          <w:rFonts w:ascii="Times New Roman" w:hAnsi="Times New Roman"/>
          <w:sz w:val="20"/>
        </w:rPr>
      </w:pPr>
      <w:r>
        <w:rPr>
          <w:rFonts w:ascii="Times New Roman;serif" w:hAnsi="Times New Roman;serif"/>
          <w:b w:val="false"/>
          <w:i/>
          <w:sz w:val="20"/>
        </w:rPr>
        <w:t>Initial equity award</w:t>
      </w:r>
      <w:r>
        <w:rPr>
          <w:rFonts w:ascii="Times New Roman;serif" w:hAnsi="Times New Roman;serif"/>
          <w:b w:val="false"/>
          <w:sz w:val="20"/>
        </w:rPr>
        <w:t>. Each new non-employee director elected or appointed to our board of directors will be granted (i) an option to purchase 29,100 shares of our common stock, vesting in 36 substantially equal monthly installments following the grant date, and (ii) 8,933 RSUs, vesting in equal annual installments over a three year period following the grant date.</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addition, if an independent chair is elected or appointed to the Board, the independent chair will be granted an additional 10,000 RSUs, vesting in full on the first anniversary of the date of grant.</w:t>
      </w:r>
    </w:p>
    <w:p>
      <w:pPr>
        <w:pStyle w:val="TextBody"/>
        <w:spacing w:before="120" w:after="0"/>
        <w:ind w:left="0" w:right="0" w:firstLine="490"/>
        <w:jc w:val="left"/>
        <w:rPr>
          <w:rFonts w:ascii="Times New Roman" w:hAnsi="Times New Roman"/>
          <w:sz w:val="20"/>
        </w:rPr>
      </w:pPr>
      <w:r>
        <w:rPr>
          <w:rFonts w:ascii="Times New Roman;serif" w:hAnsi="Times New Roman;serif"/>
          <w:b w:val="false"/>
          <w:i/>
          <w:sz w:val="20"/>
        </w:rPr>
        <w:t>Annual equity awards</w:t>
      </w:r>
      <w:r>
        <w:rPr>
          <w:rFonts w:ascii="Times New Roman;serif" w:hAnsi="Times New Roman;serif"/>
          <w:b w:val="false"/>
          <w:sz w:val="20"/>
        </w:rPr>
        <w:t>. On the date of each annual meeting of stockholders of our company, each non-employee director who has served as a non-employee director for at least six months prior to such stockholder meeting and who will continue to serve on our board of directors will be granted (i) an option to purchase 14,550 shares of our common stock, vesting in monthly installments such</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ind w:left="0" w:right="0" w:hanging="0"/>
        <w:jc w:val="left"/>
        <w:rPr/>
      </w:pPr>
      <w:r>
        <w:rPr/>
        <w:t> </w:t>
      </w:r>
    </w:p>
    <w:p>
      <w:pPr>
        <w:pStyle w:val="TextBody"/>
        <w:spacing w:before="120" w:after="0"/>
        <w:ind w:left="0" w:right="0" w:hanging="0"/>
        <w:jc w:val="left"/>
        <w:rPr>
          <w:rFonts w:ascii="Times New Roman;serif" w:hAnsi="Times New Roman;serif"/>
          <w:b w:val="false"/>
          <w:sz w:val="20"/>
        </w:rPr>
      </w:pPr>
      <w:r>
        <w:rPr>
          <w:rFonts w:ascii="Times New Roman;serif" w:hAnsi="Times New Roman;serif"/>
          <w:b w:val="false"/>
          <w:sz w:val="20"/>
        </w:rPr>
        <w:t>that the option is fully vested on the earlier of the first anniversary of the grant date or the date of our next annual stockholder meeting, and (ii) 4,466 RSUs, vesting in full on the first anniversary of the date of grant.</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All equity awards held by a non-employee director will vest in full upon a change in control.</w:t>
      </w:r>
    </w:p>
    <w:p>
      <w:pPr>
        <w:pStyle w:val="TextBody"/>
        <w:spacing w:before="360" w:after="0"/>
        <w:ind w:left="0" w:right="0" w:hanging="0"/>
        <w:jc w:val="left"/>
        <w:rPr>
          <w:rFonts w:ascii="Times New Roman" w:hAnsi="Times New Roman"/>
          <w:sz w:val="20"/>
        </w:rPr>
      </w:pPr>
      <w:bookmarkStart w:id="5" w:name="item_12_security_ownership_certain_benef"/>
      <w:bookmarkEnd w:id="5"/>
      <w:r>
        <w:rPr>
          <w:rFonts w:ascii="Times New Roman;serif" w:hAnsi="Times New Roman;serif"/>
          <w:b/>
          <w:sz w:val="20"/>
        </w:rPr>
        <w:t>Item 12. Security Ownership of Certain Beneficial Owners and Management and Related Stockholder Matters.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The following table sets forth certain information regarding the ownership of our common stock as of April 1, 2023 by: (i) each director; (ii) each of the executive officers listed in the Summary Compensation Table; (iii) all currently serving executive officers and directors as a group; and (iv) all those known by us to be beneficial owners of more than five percent of our common stock. Except as otherwise noted below, the address for persons listed in the table is c/o Sensei Biotherapeutics, Inc., 1405 Research Blvd, Suite 125, Rockville, Maryland 20850.</w:t>
      </w:r>
    </w:p>
    <w:tbl>
      <w:tblPr>
        <w:tblW w:w="10205" w:type="dxa"/>
        <w:jc w:val="left"/>
        <w:tblInd w:w="0" w:type="dxa"/>
        <w:tblCellMar>
          <w:top w:w="28" w:type="dxa"/>
          <w:left w:w="28" w:type="dxa"/>
          <w:bottom w:w="28" w:type="dxa"/>
          <w:right w:w="28" w:type="dxa"/>
        </w:tblCellMar>
      </w:tblPr>
      <w:tblGrid>
        <w:gridCol w:w="4367"/>
        <w:gridCol w:w="146"/>
        <w:gridCol w:w="325"/>
        <w:gridCol w:w="2076"/>
        <w:gridCol w:w="146"/>
        <w:gridCol w:w="146"/>
        <w:gridCol w:w="602"/>
        <w:gridCol w:w="1933"/>
        <w:gridCol w:w="146"/>
        <w:gridCol w:w="318"/>
      </w:tblGrid>
      <w:tr>
        <w:trPr/>
        <w:tc>
          <w:tcPr>
            <w:tcW w:w="43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4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Beneficially 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 of Shares Beneficially Owned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Greater than 5% Stockholders:</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Cambrian BioPharma Inc. (2)</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5,276,846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H&amp;S Investments I LP (3)</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4,441,624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Apeiron Investment Group Ltd. (4)</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4,454,248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Named Executive Officers and Directors:</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 (5)</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 (6)</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 Pierce (7)</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 (8)</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 (9)</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Sam Broder, M.D. (10)</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Ricks (11)</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 (2)</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5,276,846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Holmen (12)</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 (13)</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 (14)</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 (15)</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current directors and executive officers as a group (12 persons)</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2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7,033,524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left"/>
              <w:rPr/>
            </w:pPr>
            <w:r>
              <w:rPr/>
              <w:t> </w:t>
            </w:r>
          </w:p>
        </w:tc>
        <w:tc>
          <w:tcPr>
            <w:tcW w:w="19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ind w:left="0" w:right="0" w:hanging="0"/>
        <w:jc w:val="left"/>
        <w:rPr/>
      </w:pPr>
      <w:r>
        <w:rPr/>
        <w:t> </w:t>
      </w:r>
    </w:p>
    <w:p>
      <w:pPr>
        <w:pStyle w:val="TextBody"/>
        <w:spacing w:before="0" w:after="0"/>
        <w:ind w:left="0" w:right="0" w:hanging="0"/>
        <w:jc w:val="left"/>
        <w:rPr/>
      </w:pPr>
      <w:r>
        <w:rPr/>
        <w:t> </w:t>
      </w:r>
    </w:p>
    <w:p>
      <w:pPr>
        <w:pStyle w:val="TextBody"/>
        <w:pBdr/>
        <w:spacing w:before="0" w:after="0"/>
        <w:ind w:left="0" w:right="0" w:hanging="360"/>
        <w:jc w:val="both"/>
        <w:rPr>
          <w:rFonts w:ascii="Times New Roman;serif" w:hAnsi="Times New Roman;serif"/>
          <w:b w:val="false"/>
          <w:sz w:val="20"/>
        </w:rPr>
      </w:pPr>
      <w:r>
        <w:rPr>
          <w:rFonts w:ascii="Times New Roman;serif" w:hAnsi="Times New Roman;serif"/>
          <w:b w:val="false"/>
          <w:sz w:val="20"/>
        </w:rPr>
        <w:t>*Less than one percent.</w:t>
      </w:r>
    </w:p>
    <w:p>
      <w:pPr>
        <w:pStyle w:val="TextBody"/>
        <w:pBdr/>
        <w:spacing w:before="0" w:after="0"/>
        <w:ind w:left="0" w:right="0" w:hanging="36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table is based upon information supplied by officers, directors and principal stockholders and Schedules 13D and 13G, if any,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30,971,341 shares outstanding on April 1, 2023, adjusted as required by rules promulgated by the SEC.</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information has been obtained from a Schedule 13G/A filed on February 14, 2023 by Cambrian BioPharma Inc. ("Cambrian") and James Peyer. Consists of 5,231,490 shares of common stock and 45,356 shares issuable pursuant to stock options exercisable within 60 days following April 1, 2023. Cambrian is a Delaware corporation and Dr. Peyer serves as Cambrian’s Chief Executive Officer. In such capacity Dr. Peyer may direct the voting and disposition of the shares held by Cambrian, subject in certain instances to the approval of Cambrian’s board of directors. Cambrian’s business address is 228 Park Avenue S. #66643, New York, New York 10003.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information has been obtained from a Schedule 13G filed on February 14, 2022 by entities and individuals associated with H&amp;S Investments I LP (“H&amp;S”). Consists of 4,426,000 shares of common stock and warrants exercisable for 15,624 shares of common stock held by H&amp;S Investments I, L.P. H&amp;S Ventures, LLC, its general partner, and Michael Schulman, manager of H&amp;S Ventures, may be deemed to have voting and dispositive power with respect to the shares held. The principal business address of H&amp;S Investments I, L.P. is 2101 E Coast Highway 3rd Floor Corona Del Mar, CA 92625.</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 xml:space="preserve">This information has been obtained from a Schedule 13D/A filed on March 9, 2023 by entities and individuals associated with Apeiron Investment Group Ltd. Consists of 955,738 shares of our common stock held by Presight Sensei Co-Invest Fund, L.P. (“Presight Co-Invest”), 2,485,923 shares of our common stock held by Apeiron Investment Group, Ltd. (“Apeiron”) and 1,012,587 shares of our common stock held by Apeiron SICAV Ltd. - Presight Capital Fund ONE (“Presight Capital Fund ONE”). The general partner of Presight Co-Invest is Presight Sensei Co-Invest Management, L.L.C. (“Presight Co-Invest Management”) and Apeiron is the parent company of Presight Co-Invest Management. As a result, each of Apeiron and Presight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ind w:left="0" w:right="0" w:hanging="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Co-Invest Management may be deemed to beneficially own the securities held by Presight Co-Invest. Altarius Asset Management Ltd. is the investment manager of Presight Capital Fund ONE and may be deemed to beneficially own the securities beneficially owned by Presight Capital Fund ONE. Christian Angermayer is the majority shareholder of Apeiron and may be deemed to beneficially own the securities beneficially owned by Apeiron and Presight Co-Invest. The business address for (i) each of Presight Co-Invest and Presight Co-Invest Management is 340 South Lemon Avenue #3391 Walnut, CA 91789, (ii) each of Apeiron and Christian Angermayer is Beatrice, at 66 &amp; 67 Amery Street, SLM1707, Sliema, Malta and (iii) each of Presight Capital Fund One and Altarius is Cornerstone Complex, 16th September Square, Suite A, Level 1 – Mosta MST 1180, Malta.</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4,210 shares of common stock, 65,368 RSUs that vest within 60 days following April 1, 2023 and 766,031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6,686 shares of common stock, 35,296 RSUs that vest within 60 days following April 1, 2023 and 92,940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3,000 shares of common stock, 5,250 RSUs that vest within 60 days following April 1, 2023 and 246,933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6,473 shares of common stock, 27,240 RSUs that vest within 60 days following April 1, 2023 and 110,400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12,977 RSUs that vest within 60 days following April 1, 2023 and 11,316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45,981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334,931 shares of our common stock and a warrant to purchase 1,457 shares of our common stock held by Ricks Family Trust, and 46,606 shares issuable pursuant to stock options exercisable within 60 days following April 1, 2023 held by Thomas Ricks. Thomas Ricks is a trustee of the Ricks Family Trust and accordingly may be deemed to have voting and dispositive power with respect to the shares held by Ricks Family Trust.</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16,666 shares of common stock and 68,981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23,059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24,911 shares issuable pursuant to stock options exercisable within 60 days following April 1, 2023.</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(15)</w:t>
      </w:r>
    </w:p>
    <w:p>
      <w:pPr>
        <w:pStyle w:val="TextBody"/>
        <w:jc w:val="left"/>
        <w:rPr>
          <w:rFonts w:ascii="Times New Roman;serif" w:hAnsi="Times New Roman;serif"/>
          <w:b w:val="false"/>
          <w:sz w:val="20"/>
        </w:rPr>
      </w:pPr>
      <w:r>
        <w:rPr>
          <w:rFonts w:ascii="Times New Roman;serif" w:hAnsi="Times New Roman;serif"/>
          <w:b w:val="false"/>
          <w:sz w:val="20"/>
        </w:rPr>
        <w:t>Consists of 25,386 shares issuable pursuant to stock options exercisable within 60 days following April 1, 2023.</w:t>
      </w:r>
    </w:p>
    <w:p>
      <w:pPr>
        <w:pStyle w:val="TextBody"/>
        <w:pBdr/>
        <w:spacing w:before="0" w:after="0"/>
        <w:ind w:left="0" w:right="0" w:hanging="360"/>
        <w:jc w:val="both"/>
        <w:rPr/>
      </w:pPr>
      <w:r>
        <w:rPr/>
        <w:t> </w:t>
      </w:r>
    </w:p>
    <w:p>
      <w:pPr>
        <w:pStyle w:val="TextBody"/>
        <w:spacing w:before="120" w:after="0"/>
        <w:ind w:left="0" w:right="0" w:hanging="0"/>
        <w:jc w:val="left"/>
        <w:rPr>
          <w:rFonts w:ascii="Times New Roman;serif" w:hAnsi="Times New Roman;serif"/>
          <w:b/>
          <w:sz w:val="20"/>
        </w:rPr>
      </w:pPr>
      <w:r>
        <w:rPr>
          <w:rFonts w:ascii="Times New Roman;serif" w:hAnsi="Times New Roman;serif"/>
          <w:b/>
          <w:sz w:val="20"/>
        </w:rPr>
        <w:t>Equity Compensation Plan Information</w:t>
      </w:r>
    </w:p>
    <w:p>
      <w:pPr>
        <w:pStyle w:val="TextBody"/>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table provides certain information regarding our equity compensation plans in effect as of December 31, 2022:</w:t>
      </w:r>
    </w:p>
    <w:tbl>
      <w:tblPr>
        <w:tblW w:w="10205" w:type="dxa"/>
        <w:jc w:val="left"/>
        <w:tblInd w:w="0" w:type="dxa"/>
        <w:tblCellMar>
          <w:top w:w="28" w:type="dxa"/>
          <w:left w:w="28" w:type="dxa"/>
          <w:bottom w:w="28" w:type="dxa"/>
          <w:right w:w="28" w:type="dxa"/>
        </w:tblCellMar>
      </w:tblPr>
      <w:tblGrid>
        <w:gridCol w:w="3926"/>
        <w:gridCol w:w="146"/>
        <w:gridCol w:w="213"/>
        <w:gridCol w:w="1360"/>
        <w:gridCol w:w="146"/>
        <w:gridCol w:w="313"/>
        <w:gridCol w:w="478"/>
        <w:gridCol w:w="1056"/>
        <w:gridCol w:w="146"/>
        <w:gridCol w:w="313"/>
        <w:gridCol w:w="216"/>
        <w:gridCol w:w="1384"/>
        <w:gridCol w:w="146"/>
        <w:gridCol w:w="362"/>
      </w:tblGrid>
      <w:tr>
        <w:trPr/>
        <w:tc>
          <w:tcPr>
            <w:tcW w:w="3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3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 to</w:t>
              <w:br/>
              <w:t>be issued upon exercise</w:t>
              <w:br/>
              <w:t>of outstanding options,</w:t>
              <w:br/>
              <w:t>warrants and rights</w:t>
              <w:b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5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w:t>
              <w:br/>
              <w:t>exercise price of</w:t>
              <w:br/>
              <w:t>outstanding options,</w:t>
              <w:br/>
              <w:t>warrants and rights</w:t>
              <w:b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6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w:t>
              <w:br/>
              <w:t>remaining available for</w:t>
              <w:br/>
              <w:t>future issuance under</w:t>
              <w:br/>
              <w:t>equity compensation</w:t>
              <w:br/>
              <w:t>plans (excluding</w:t>
              <w:br/>
              <w:t>securities reflected in</w:t>
              <w:br/>
              <w:t>column (a))</w:t>
              <w:br/>
              <w:t>(c)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2"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3,549,288</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4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216" w:type="dxa"/>
            <w:tcBorders/>
            <w:shd w:fill="auto" w:val="clear"/>
            <w:vAlign w:val="center"/>
          </w:tcPr>
          <w:p>
            <w:pPr>
              <w:pStyle w:val="TableContents"/>
              <w:spacing w:before="0" w:after="0"/>
              <w:ind w:left="0" w:right="0" w:hanging="0"/>
              <w:jc w:val="left"/>
              <w:rPr/>
            </w:pPr>
            <w:r>
              <w:rPr/>
              <w:t> </w:t>
            </w:r>
          </w:p>
        </w:tc>
        <w:tc>
          <w:tcPr>
            <w:tcW w:w="1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3,138,831</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r>
      <w:tr>
        <w:trPr/>
        <w:tc>
          <w:tcPr>
            <w:tcW w:w="3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469,266</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4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3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3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4,018,554</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534"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3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3,138,831</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Includes shares issuable upon exercise of outstanding options under our 2018 Plan and 2021 Plan.</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weighted average exercise price is calculated based solely on outstanding stock options. It does not take into account the shares of common stock underlying RSUs, which have no exercise price. There are no warrants outstanding under our equity compensation plans.</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Consists of shares available under the 2021 Plan and our 2021 Employee Stock Purchase Plan (the “ESPP”) as of December 31, 2022. On January 1 of each year, the number of shares reserved under the 2021 Plan and the ESPP is automatically increased by 4.0% and 1.0%, respectively, of the total number of shares of common stock that are outstanding at that time, or a lesser number of shares as may be determined by our board of directors. In December 2022, with respect to the 2021 Plan only the board of directors determined that the automatic increase of available shares for calendar year 2023 would be reduced from 4.0% to 1.0% of the Company's capital stock. As a result, an additional 307,641 shares and 307,641 shares were added to the number of available shares under the 2021 Plan and ESPP, respectively, effective January 1, 2023.</w:t>
      </w:r>
    </w:p>
    <w:p>
      <w:pPr>
        <w:pStyle w:val="TextBody"/>
        <w:spacing w:before="360" w:after="0"/>
        <w:ind w:left="0" w:right="0" w:hanging="0"/>
        <w:jc w:val="left"/>
        <w:rPr>
          <w:rFonts w:ascii="Times New Roman" w:hAnsi="Times New Roman"/>
          <w:sz w:val="20"/>
        </w:rPr>
      </w:pPr>
      <w:bookmarkStart w:id="6" w:name="item_13_certain_relationships_related_tr"/>
      <w:bookmarkEnd w:id="6"/>
      <w:r>
        <w:rPr>
          <w:rFonts w:ascii="Times New Roman;serif" w:hAnsi="Times New Roman;serif"/>
          <w:b/>
          <w:sz w:val="20"/>
        </w:rPr>
        <w:t>Item 13. Certain Relationships and Related Transactions, and Director Independence.</w:t>
      </w:r>
      <w:r>
        <w:rPr>
          <w:rFonts w:ascii="Times New Roman" w:hAnsi="Times New Roman"/>
          <w:sz w:val="20"/>
        </w:rPr>
        <w:t xml:space="preserve">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ind w:left="0" w:right="0" w:hanging="0"/>
        <w:jc w:val="left"/>
        <w:rPr/>
      </w:pPr>
      <w:r>
        <w:rPr/>
        <w:t>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Except as described below, there have been no transactions since January 1, 2021 to which we have been a participant in which the amount involved exceeded or will exceed $120,000 or, during such time as we qualify as a “smaller reporting company,” the lesser of (1) $120,000 or (2) 1% of the average of our total assets for the last two completed years, and in which any of our then directors, executive officers or holders of more than 5% of our common stock at the time of such transaction, or any members of their immediate family, had or will have a direct or indirect material interest, other than compensation arrangements which are described in “Executive Compensation” and “Director Compensation Table.”</w:t>
      </w:r>
    </w:p>
    <w:p>
      <w:pPr>
        <w:pStyle w:val="TextBody"/>
        <w:spacing w:before="360" w:after="0"/>
        <w:ind w:left="0" w:right="0" w:hanging="0"/>
        <w:jc w:val="left"/>
        <w:rPr>
          <w:rFonts w:ascii="Times New Roman" w:hAnsi="Times New Roman"/>
          <w:sz w:val="20"/>
        </w:rPr>
      </w:pPr>
      <w:r>
        <w:rPr>
          <w:rFonts w:ascii="Times New Roman;serif" w:hAnsi="Times New Roman;serif"/>
          <w:b/>
          <w:sz w:val="20"/>
        </w:rPr>
        <w:t>Series BB Convertible Preferred Stock Financing</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From December 2020 through January 2021, we issued an aggregate of 165,956,208 shares of our Series BB convertible preferred stock at a purchase price of $0.207383 per share for an aggregate gross proceeds of $34.4 million in cash. The following table summarizes purchases of convertible preferred stock by holders of more than five percent of our voting securities and their affiliated entities, our directors and our executive officers.</w:t>
      </w:r>
      <w:r>
        <w:rPr>
          <w:rFonts w:ascii="Times New Roman" w:hAnsi="Times New Roman"/>
          <w:sz w:val="20"/>
        </w:rPr>
        <w:t xml:space="preserve"> </w:t>
      </w:r>
    </w:p>
    <w:tbl>
      <w:tblPr>
        <w:tblW w:w="7189" w:type="dxa"/>
        <w:jc w:val="left"/>
        <w:tblInd w:w="0" w:type="dxa"/>
        <w:tblCellMar>
          <w:top w:w="28" w:type="dxa"/>
          <w:left w:w="28" w:type="dxa"/>
          <w:bottom w:w="28" w:type="dxa"/>
          <w:right w:w="28" w:type="dxa"/>
        </w:tblCellMar>
      </w:tblPr>
      <w:tblGrid>
        <w:gridCol w:w="4516"/>
        <w:gridCol w:w="146"/>
        <w:gridCol w:w="270"/>
        <w:gridCol w:w="1920"/>
        <w:gridCol w:w="146"/>
        <w:gridCol w:w="19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shd w:fill="auto" w:val="clear"/>
            <w:vAlign w:val="center"/>
          </w:tcPr>
          <w:p>
            <w:pPr>
              <w:pStyle w:val="TableContents"/>
              <w:spacing w:before="0" w:after="0"/>
              <w:ind w:left="0" w:right="0" w:hanging="0"/>
              <w:jc w:val="left"/>
              <w:rPr>
                <w:rFonts w:cs="Times New Roman;serif"/>
                <w:bCs/>
                <w:szCs w:val="16"/>
              </w:rPr>
            </w:pPr>
            <w:r>
              <w:rPr>
                <w:rFonts w:cs="Times New Roman;serif"/>
                <w:bCs/>
                <w:szCs w:val="16"/>
              </w:rPr>
              <w:t>﻿</w:t>
            </w:r>
          </w:p>
        </w:tc>
        <w:tc>
          <w:tcPr>
            <w:tcW w:w="2190"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Series BB Preferred Stock(1)</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rFonts w:cs="Times New Roman;serif"/>
                <w:bCs/>
                <w:szCs w:val="16"/>
              </w:rPr>
            </w:pPr>
            <w:r>
              <w:rPr>
                <w:rFonts w:cs="Times New Roman;serif"/>
                <w:bCs/>
                <w:szCs w:val="16"/>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Cambrian BioPharma, Inc.</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70" w:type="dxa"/>
            <w:tcBorders/>
            <w:shd w:fill="auto" w:val="clear"/>
            <w:vAlign w:val="center"/>
          </w:tcPr>
          <w:p>
            <w:pPr>
              <w:pStyle w:val="TableContents"/>
              <w:spacing w:before="0" w:after="0"/>
              <w:ind w:left="0" w:right="0" w:hanging="0"/>
              <w:jc w:val="left"/>
              <w:rPr/>
            </w:pPr>
            <w:r>
              <w:rPr/>
              <w:t> </w:t>
            </w:r>
          </w:p>
        </w:tc>
        <w:tc>
          <w:tcPr>
            <w:tcW w:w="1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4,821,996</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Future Ventures</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70" w:type="dxa"/>
            <w:tcBorders/>
            <w:shd w:fill="auto" w:val="clear"/>
            <w:vAlign w:val="center"/>
          </w:tcPr>
          <w:p>
            <w:pPr>
              <w:pStyle w:val="TableContents"/>
              <w:spacing w:before="0" w:after="0"/>
              <w:ind w:left="0" w:right="0" w:hanging="0"/>
              <w:jc w:val="left"/>
              <w:rPr/>
            </w:pPr>
            <w:r>
              <w:rPr/>
              <w:t> </w:t>
            </w:r>
          </w:p>
        </w:tc>
        <w:tc>
          <w:tcPr>
            <w:tcW w:w="1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8,679,592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Apeiron Investment Group, Ltd</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70" w:type="dxa"/>
            <w:tcBorders/>
            <w:shd w:fill="auto" w:val="clear"/>
            <w:vAlign w:val="center"/>
          </w:tcPr>
          <w:p>
            <w:pPr>
              <w:pStyle w:val="TableContents"/>
              <w:spacing w:before="0" w:after="0"/>
              <w:ind w:left="0" w:right="0" w:hanging="0"/>
              <w:jc w:val="left"/>
              <w:rPr/>
            </w:pPr>
            <w:r>
              <w:rPr/>
              <w:t> </w:t>
            </w:r>
          </w:p>
        </w:tc>
        <w:tc>
          <w:tcPr>
            <w:tcW w:w="1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28,931,976</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Ricks Family Trust</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70" w:type="dxa"/>
            <w:tcBorders/>
            <w:shd w:fill="auto" w:val="clear"/>
            <w:vAlign w:val="center"/>
          </w:tcPr>
          <w:p>
            <w:pPr>
              <w:pStyle w:val="TableContents"/>
              <w:spacing w:before="0" w:after="0"/>
              <w:ind w:left="0" w:right="0" w:hanging="0"/>
              <w:jc w:val="left"/>
              <w:rPr/>
            </w:pPr>
            <w:r>
              <w:rPr/>
              <w:t> </w:t>
            </w:r>
          </w:p>
        </w:tc>
        <w:tc>
          <w:tcPr>
            <w:tcW w:w="1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3,037,849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r>
    </w:tbl>
    <w:p>
      <w:pPr>
        <w:pStyle w:val="TextBody"/>
        <w:spacing w:before="4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 xml:space="preserve">Upon the closing of our initial public offering, each share of our Series BB preferred stock converted into one share of common stock. </w:t>
      </w:r>
    </w:p>
    <w:p>
      <w:pPr>
        <w:pStyle w:val="TextBody"/>
        <w:spacing w:before="360" w:after="0"/>
        <w:ind w:left="244" w:right="0" w:hanging="0"/>
        <w:jc w:val="left"/>
        <w:rPr>
          <w:rFonts w:ascii="Times New Roman;serif" w:hAnsi="Times New Roman;serif"/>
          <w:b/>
          <w:i/>
          <w:sz w:val="20"/>
        </w:rPr>
      </w:pPr>
      <w:r>
        <w:rPr>
          <w:rFonts w:ascii="Times New Roman;serif" w:hAnsi="Times New Roman;serif"/>
          <w:b/>
          <w:i/>
          <w:sz w:val="20"/>
        </w:rPr>
        <w:t>Investors’ Rights Agreement</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We are party to an investors’ rights agreement (the “IRA”) with certain holders of our convertible preferred stock, including our 5% stockholders and their affiliates. The IRA provides these stockholders with certain registration rights, including the right to demand that we file a registration statement or request that their shares be covered by a registration statement that we are otherwise filing, and also the right to obligate us to an agreement to provide for additional rights to demand that we file a registration statement or request that their shares be covered by a registration statement that we have filed and maintain as effective. The IRA provided these stockholders with information rights, which terminated immediately before consummation of our initial public offering.</w:t>
      </w:r>
      <w:r>
        <w:rPr>
          <w:rFonts w:ascii="Times New Roman" w:hAnsi="Times New Roman"/>
          <w:sz w:val="20"/>
        </w:rPr>
        <w:t xml:space="preserve"> </w:t>
      </w:r>
    </w:p>
    <w:p>
      <w:pPr>
        <w:pStyle w:val="TextBody"/>
        <w:spacing w:before="360" w:after="0"/>
        <w:ind w:left="244" w:right="0" w:hanging="0"/>
        <w:jc w:val="left"/>
        <w:rPr>
          <w:rFonts w:ascii="Times New Roman;serif" w:hAnsi="Times New Roman;serif"/>
          <w:b/>
          <w:i/>
          <w:sz w:val="20"/>
        </w:rPr>
      </w:pPr>
      <w:r>
        <w:rPr>
          <w:rFonts w:ascii="Times New Roman;serif" w:hAnsi="Times New Roman;serif"/>
          <w:b/>
          <w:i/>
          <w:sz w:val="20"/>
        </w:rPr>
        <w:t>Consulting Agreement</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December 2020, we entered into a consulting agreement with Apeiron Advisory Ltd. (“Apeiron Advisory”), an affiliate of Presight Sensei Co-Invest Fund, L.P., one of the holders of more than 5% of our voting securities. Pursuant to the consulting agreement, Apeiron Advisory provided us with strategic and development-related advice in exchange for a one-time retaining fee of $1.5 million, which we paid to Apeiron Advisory in January 2021.</w:t>
      </w:r>
    </w:p>
    <w:p>
      <w:pPr>
        <w:pStyle w:val="TextBody"/>
        <w:spacing w:before="360" w:after="0"/>
        <w:ind w:left="244" w:right="0" w:hanging="0"/>
        <w:jc w:val="left"/>
        <w:rPr>
          <w:rFonts w:ascii="Times New Roman;serif" w:hAnsi="Times New Roman;serif"/>
          <w:b/>
          <w:i/>
          <w:sz w:val="20"/>
        </w:rPr>
      </w:pPr>
      <w:r>
        <w:rPr>
          <w:rFonts w:ascii="Times New Roman;serif" w:hAnsi="Times New Roman;serif"/>
          <w:b/>
          <w:i/>
          <w:sz w:val="20"/>
        </w:rPr>
        <w:t>Service Agreement with Hope Farms Research</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In April 2021, we entered into a Service Agreement (the “Service Agreement”) with Hope Farms Disco Bay LLC (“Hope Farms”), pursuant to which Hope Farms provides services to us related to research activities. The Chief Executive Officer of Hope Farms, Mai Hope Le, is the wife of Dr. Pierce, our former Chief Research and Development Officer, and Dr. Pierce is a co-founder and member of Hope Farms. In exchange for the services provided pursuant to the Service Agreement, we paid $150,869 and $130,578 to Hope Farms during 2022 and 2021, respectively. In October 2022, the Company and Hope Farms agreed to terminate the Service Agreement.</w:t>
      </w:r>
    </w:p>
    <w:p>
      <w:pPr>
        <w:pStyle w:val="TextBody"/>
        <w:spacing w:before="360" w:after="0"/>
        <w:ind w:left="244" w:right="0" w:hanging="0"/>
        <w:jc w:val="left"/>
        <w:rPr>
          <w:rFonts w:ascii="Times New Roman;serif" w:hAnsi="Times New Roman;serif"/>
          <w:b/>
          <w:i/>
          <w:sz w:val="20"/>
        </w:rPr>
      </w:pPr>
      <w:r>
        <w:rPr>
          <w:rFonts w:ascii="Times New Roman;serif" w:hAnsi="Times New Roman;serif"/>
          <w:b/>
          <w:i/>
          <w:sz w:val="20"/>
        </w:rPr>
        <w:t>Service Agreement with Binney Street Partners</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During 2022, we entered into a service agreement with Binney Street Partners LLC (“Binney Street Partners”) to provide business development services (the “BSP Service Agreement”). The Company subsequently hired Patrick Gallagher, who was a managing partner of Binney Street Partners, to serve as the Company's Chief Business Officer, effective June 1, 2022. In exchange for the services provided pursuant to the BSP Service Agreement, we paid $223,372 to Binney Street Partners during 2022. In September 2022, the Company and Binney Street Partners agreed to terminate the BSP Service Agreement, effective as of August 11, 2022.</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ind w:left="0" w:right="0" w:hanging="0"/>
        <w:jc w:val="left"/>
        <w:rPr/>
      </w:pPr>
      <w:r>
        <w:rPr/>
        <w:t> </w:t>
      </w:r>
    </w:p>
    <w:p>
      <w:pPr>
        <w:pStyle w:val="TextBody"/>
        <w:spacing w:before="360" w:after="0"/>
        <w:ind w:left="244" w:right="0" w:hanging="0"/>
        <w:jc w:val="left"/>
        <w:rPr>
          <w:rFonts w:ascii="Times New Roman;serif" w:hAnsi="Times New Roman;serif"/>
          <w:b/>
          <w:i/>
          <w:sz w:val="20"/>
        </w:rPr>
      </w:pPr>
      <w:r>
        <w:rPr>
          <w:rFonts w:ascii="Times New Roman;serif" w:hAnsi="Times New Roman;serif"/>
          <w:b/>
          <w:i/>
          <w:sz w:val="20"/>
        </w:rPr>
        <w:t>Indemnification Agreements</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w:t>
      </w:r>
    </w:p>
    <w:p>
      <w:pPr>
        <w:pStyle w:val="TextBody"/>
        <w:spacing w:before="360" w:after="0"/>
        <w:ind w:left="0" w:right="0" w:hanging="0"/>
        <w:jc w:val="left"/>
        <w:rPr>
          <w:rFonts w:ascii="Times New Roman" w:hAnsi="Times New Roman"/>
          <w:sz w:val="20"/>
        </w:rPr>
      </w:pPr>
      <w:r>
        <w:rPr>
          <w:rFonts w:ascii="Times New Roman;serif" w:hAnsi="Times New Roman;serif"/>
          <w:b/>
          <w:sz w:val="20"/>
        </w:rPr>
        <w:t>Policies and Procedures for Related Person Transactions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Our board of directors has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whether the transaction is on terms comparable to those that could be obtained in an arm’s length transaction and the extent of the related person’s interest in the transaction. The transactions described in this section occurred prior to the adoption of this policy or were approved and/or ratified by our Audit Committee in accordance with our related person transaction policy.</w:t>
      </w:r>
      <w:r>
        <w:rPr>
          <w:rFonts w:ascii="Times New Roman" w:hAnsi="Times New Roman"/>
          <w:sz w:val="20"/>
        </w:rPr>
        <w:t xml:space="preserve"> </w:t>
      </w:r>
    </w:p>
    <w:p>
      <w:pPr>
        <w:pStyle w:val="TextBody"/>
        <w:spacing w:before="360" w:after="0"/>
        <w:ind w:left="0" w:right="0" w:hanging="0"/>
        <w:jc w:val="left"/>
        <w:rPr>
          <w:rFonts w:ascii="Times New Roman" w:hAnsi="Times New Roman"/>
          <w:sz w:val="20"/>
        </w:rPr>
      </w:pPr>
      <w:r>
        <w:rPr>
          <w:rFonts w:ascii="Times New Roman;serif" w:hAnsi="Times New Roman;serif"/>
          <w:b/>
          <w:sz w:val="20"/>
        </w:rPr>
        <w:t>Independence of the Board of Directors</w:t>
      </w:r>
      <w:r>
        <w:rPr>
          <w:rFonts w:ascii="Times New Roman" w:hAnsi="Times New Roman"/>
          <w:sz w:val="20"/>
        </w:rPr>
        <w:t xml:space="preserve"> </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As required under the Nasdaq listing standards, a majority of the members of a listed company’s board of directors must qualify as “independent,” as affirmatively determined by the board of directors. Our board of directors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all of our directors except for Mr. Celebi, representing eight of our nine directors, are “independent directors” as defined under current rules and regulations of the SEC and the listing standards of the Nasdaq Stock Market. In making these determinations, our board of directors considered the current and prior relationships that each non-employee director has with our company and all other facts and circumstances that our board of directors deemed relevant in determining their independence.</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In addition, each of the members of each of the Audit Committee, the Compensation Committee and the Nominating and Corporate Governance Committee are independent, as determined in accordance with the applicable independence requirements for such committee.</w:t>
      </w:r>
      <w:r>
        <w:rPr>
          <w:rFonts w:ascii="Times New Roman" w:hAnsi="Times New Roman"/>
          <w:sz w:val="20"/>
        </w:rPr>
        <w:t xml:space="preserve"> </w:t>
      </w:r>
    </w:p>
    <w:p>
      <w:pPr>
        <w:pStyle w:val="TextBody"/>
        <w:spacing w:before="360" w:after="0"/>
        <w:ind w:left="0" w:right="0" w:hanging="0"/>
        <w:jc w:val="left"/>
        <w:rPr>
          <w:rFonts w:ascii="Times New Roman" w:hAnsi="Times New Roman"/>
          <w:sz w:val="20"/>
        </w:rPr>
      </w:pPr>
      <w:bookmarkStart w:id="7" w:name="item_14_principal_accounting_fees_servic"/>
      <w:bookmarkEnd w:id="7"/>
      <w:r>
        <w:rPr>
          <w:rFonts w:ascii="Times New Roman;serif" w:hAnsi="Times New Roman;serif"/>
          <w:b/>
          <w:sz w:val="20"/>
        </w:rPr>
        <w:t>Item 14. Principal Accounting Fees and Services.</w:t>
      </w:r>
      <w:r>
        <w:rPr>
          <w:rFonts w:ascii="Times New Roman" w:hAnsi="Times New Roman"/>
          <w:sz w:val="20"/>
        </w:rPr>
        <w:t xml:space="preserve"> </w:t>
      </w:r>
    </w:p>
    <w:p>
      <w:pPr>
        <w:pStyle w:val="TextBody"/>
        <w:spacing w:before="120" w:after="0"/>
        <w:ind w:left="0" w:right="0" w:firstLine="490"/>
        <w:jc w:val="left"/>
        <w:rPr>
          <w:rFonts w:ascii="Times New Roman" w:hAnsi="Times New Roman"/>
          <w:sz w:val="20"/>
        </w:rPr>
      </w:pPr>
      <w:r>
        <w:rPr>
          <w:rFonts w:ascii="Times New Roman;serif" w:hAnsi="Times New Roman;serif"/>
          <w:b w:val="false"/>
          <w:sz w:val="20"/>
        </w:rPr>
        <w:t>The following table represents aggregate fees billed to us for the fiscal years ended December 31, 2022 and 2021 by our principal accountant, Deloitte and Touche LLP. All such fees described below were approved by the audit committee.</w:t>
      </w:r>
      <w:r>
        <w:rPr>
          <w:rFonts w:ascii="Times New Roman" w:hAnsi="Times New Roman"/>
          <w:sz w:val="20"/>
        </w:rPr>
        <w:t xml:space="preserve"> </w:t>
      </w:r>
    </w:p>
    <w:p>
      <w:pPr>
        <w:pStyle w:val="TextBody"/>
        <w:spacing w:before="0" w:after="0"/>
        <w:ind w:left="0" w:right="0" w:hanging="0"/>
        <w:jc w:val="left"/>
        <w:rPr/>
      </w:pPr>
      <w:r>
        <w:rPr/>
        <w:t> </w:t>
      </w:r>
    </w:p>
    <w:tbl>
      <w:tblPr>
        <w:tblW w:w="3990" w:type="dxa"/>
        <w:jc w:val="left"/>
        <w:tblInd w:w="0" w:type="dxa"/>
        <w:tblCellMar>
          <w:top w:w="28" w:type="dxa"/>
          <w:left w:w="28" w:type="dxa"/>
          <w:bottom w:w="28" w:type="dxa"/>
          <w:right w:w="28" w:type="dxa"/>
        </w:tblCellMar>
      </w:tblPr>
      <w:tblGrid>
        <w:gridCol w:w="1171"/>
        <w:gridCol w:w="146"/>
        <w:gridCol w:w="233"/>
        <w:gridCol w:w="862"/>
        <w:gridCol w:w="146"/>
        <w:gridCol w:w="146"/>
        <w:gridCol w:w="233"/>
        <w:gridCol w:w="862"/>
        <w:gridCol w:w="191"/>
      </w:tblGrid>
      <w:tr>
        <w:trPr/>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 year</w:t>
              <w:br/>
              <w:t>ended</w:t>
              <w:b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 year</w:t>
              <w:br/>
              <w:t>ended</w:t>
              <w:b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fees(1)</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616,832</w:t>
            </w:r>
          </w:p>
        </w:tc>
        <w:tc>
          <w:tcPr>
            <w:tcW w:w="191" w:type="dxa"/>
            <w:tcBorders/>
            <w:shd w:fill="auto" w:val="clear"/>
            <w:vAlign w:val="center"/>
          </w:tcPr>
          <w:p>
            <w:pPr>
              <w:pStyle w:val="TableContents"/>
              <w:spacing w:before="0" w:after="0"/>
              <w:ind w:left="0" w:right="0" w:hanging="0"/>
              <w:jc w:val="left"/>
              <w:rPr/>
            </w:pPr>
            <w:r>
              <w:rPr/>
              <w:t> </w:t>
            </w:r>
          </w:p>
        </w:tc>
      </w:tr>
      <w:tr>
        <w:trPr/>
        <w:tc>
          <w:tcPr>
            <w:tcW w:w="1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fees(2)</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43,597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660,429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Audit fees consists of fees billed or incurred for professional services rendered in connection with the audit of our consolidated financial statements and review of the interim condensed consolidated financial statements included in our quarterly reports.</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Tax fees includes services related to the preparation or review of the U.S. federal, state and local tax returns, and other advisory and professional services.</w:t>
      </w:r>
    </w:p>
    <w:p>
      <w:pPr>
        <w:pStyle w:val="TextBody"/>
        <w:spacing w:before="0" w:after="0"/>
        <w:ind w:left="0" w:right="0" w:hanging="0"/>
        <w:jc w:val="left"/>
        <w:rPr/>
      </w:pPr>
      <w:r>
        <w:rPr/>
        <w:t>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serif" w:hAnsi="Times New Roman;serif"/>
          <w:b/>
          <w:sz w:val="20"/>
        </w:rPr>
      </w:pPr>
      <w:r>
        <w:rPr>
          <w:rFonts w:ascii="Times New Roman;serif" w:hAnsi="Times New Roman;serif"/>
          <w:b/>
          <w:sz w:val="20"/>
        </w:rPr>
        <w:t>Pre-Approval Policies and Procedures</w:t>
      </w:r>
    </w:p>
    <w:p>
      <w:pPr>
        <w:pStyle w:val="TextBody"/>
        <w:spacing w:before="240" w:after="0"/>
        <w:ind w:left="0" w:right="0" w:firstLine="490"/>
        <w:jc w:val="left"/>
        <w:rPr>
          <w:rFonts w:ascii="Times New Roman;serif" w:hAnsi="Times New Roman;serif"/>
          <w:b w:val="false"/>
          <w:sz w:val="20"/>
        </w:rPr>
      </w:pPr>
      <w:r>
        <w:rPr>
          <w:rFonts w:ascii="Times New Roman;serif" w:hAnsi="Times New Roman;serif"/>
          <w:b w:val="false"/>
          <w:sz w:val="20"/>
        </w:rPr>
        <w:t>The Audit Committee has adopted a policy and procedures for the pre-approval of audit and non-audit services rendered by the Company’s independent auditors, Deloitte &amp; Touche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spacing w:before="240" w:after="0"/>
        <w:ind w:left="0" w:right="0" w:firstLine="490"/>
        <w:jc w:val="left"/>
        <w:rPr>
          <w:rFonts w:ascii="Times New Roman" w:hAnsi="Times New Roman"/>
          <w:sz w:val="20"/>
        </w:rPr>
      </w:pPr>
      <w:r>
        <w:rPr>
          <w:rFonts w:ascii="Times New Roman;serif" w:hAnsi="Times New Roman;serif"/>
          <w:b w:val="false"/>
          <w:sz w:val="20"/>
        </w:rPr>
        <w:t>All of the services of Deloitte &amp; Touche LLP for the years ended December 31, 2022 and 2021 described above were pre-approved in accordance with the Audit Committee Pre-Approval Policy.</w:t>
        <w:br/>
        <w:br/>
        <w:br/>
        <w:br/>
      </w:r>
      <w:r>
        <w:rPr>
          <w:rFonts w:ascii="Times New Roman" w:hAnsi="Times New Roman"/>
          <w:sz w:val="20"/>
        </w:rPr>
        <w:t> </w:t>
      </w:r>
    </w:p>
    <w:p>
      <w:pPr>
        <w:pStyle w:val="TextBody"/>
        <w:spacing w:before="0" w:after="0"/>
        <w:ind w:left="0" w:right="0" w:hanging="0"/>
        <w:jc w:val="left"/>
        <w:rPr/>
      </w:pPr>
      <w:r>
        <w:rPr/>
        <w:t> </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ind w:left="0" w:right="0" w:hanging="0"/>
        <w:jc w:val="left"/>
        <w:rPr/>
      </w:pPr>
      <w:r>
        <w:rPr/>
        <w:t> </w:t>
      </w:r>
    </w:p>
    <w:p>
      <w:pPr>
        <w:pStyle w:val="TextBody"/>
        <w:spacing w:before="0" w:after="0"/>
        <w:ind w:left="0" w:right="0" w:firstLine="490"/>
        <w:jc w:val="center"/>
        <w:rPr>
          <w:rFonts w:ascii="Times New Roman" w:hAnsi="Times New Roman"/>
          <w:sz w:val="20"/>
        </w:rPr>
      </w:pPr>
      <w:r>
        <w:rPr>
          <w:rFonts w:ascii="Times New Roman;serif" w:hAnsi="Times New Roman;serif"/>
          <w:b/>
          <w:sz w:val="20"/>
        </w:rPr>
        <w:t>PART IV</w:t>
      </w:r>
      <w:r>
        <w:rPr>
          <w:rFonts w:ascii="Times New Roman" w:hAnsi="Times New Roman"/>
          <w:sz w:val="20"/>
        </w:rPr>
        <w:t xml:space="preserve"> </w:t>
      </w:r>
    </w:p>
    <w:p>
      <w:pPr>
        <w:pStyle w:val="TextBody"/>
        <w:spacing w:before="240" w:after="0"/>
        <w:ind w:left="0" w:right="0" w:hanging="0"/>
        <w:jc w:val="left"/>
        <w:rPr>
          <w:rFonts w:ascii="Times New Roman;serif" w:hAnsi="Times New Roman;serif"/>
          <w:b/>
          <w:sz w:val="20"/>
        </w:rPr>
      </w:pPr>
      <w:bookmarkStart w:id="8" w:name="item_15_exhibits_financial_statement_sch"/>
      <w:bookmarkEnd w:id="8"/>
      <w:r>
        <w:rPr>
          <w:rFonts w:ascii="Times New Roman;serif" w:hAnsi="Times New Roman;serif"/>
          <w:b/>
          <w:sz w:val="20"/>
        </w:rPr>
        <w:t>Item 15. Exhibits, Financial Statement Schedules.</w:t>
      </w:r>
    </w:p>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Exhibits </w:t>
      </w:r>
    </w:p>
    <w:p>
      <w:pPr>
        <w:pStyle w:val="TextBody"/>
        <w:pBdr/>
        <w:spacing w:before="120" w:after="0"/>
        <w:ind w:left="0" w:right="0" w:hanging="490"/>
        <w:jc w:val="left"/>
        <w:rPr/>
      </w:pPr>
      <w:r>
        <w:rPr/>
        <w:t> </w:t>
      </w:r>
    </w:p>
    <w:p>
      <w:pPr>
        <w:pStyle w:val="TextBody"/>
        <w:pBdr>
          <w:bottom w:val="single" w:sz="4" w:space="1" w:color="000000"/>
        </w:pBdr>
        <w:spacing w:before="0" w:after="0"/>
        <w:ind w:left="0" w:right="9360" w:hanging="0"/>
        <w:jc w:val="left"/>
        <w:rPr/>
      </w:pPr>
      <w:r>
        <w:rPr/>
        <w:t> </w:t>
      </w:r>
    </w:p>
    <w:tbl>
      <w:tblPr>
        <w:tblW w:w="10205" w:type="dxa"/>
        <w:jc w:val="left"/>
        <w:tblInd w:w="0" w:type="dxa"/>
        <w:tblCellMar>
          <w:top w:w="28" w:type="dxa"/>
          <w:left w:w="28" w:type="dxa"/>
          <w:bottom w:w="28" w:type="dxa"/>
          <w:right w:w="28" w:type="dxa"/>
        </w:tblCellMar>
      </w:tblPr>
      <w:tblGrid>
        <w:gridCol w:w="706"/>
        <w:gridCol w:w="146"/>
        <w:gridCol w:w="9353"/>
      </w:tblGrid>
      <w:tr>
        <w:trPr/>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53" w:type="dxa"/>
            <w:tcBorders/>
            <w:shd w:fill="auto" w:val="clear"/>
            <w:vAlign w:val="center"/>
          </w:tcPr>
          <w:p>
            <w:pPr>
              <w:pStyle w:val="TableContents"/>
              <w:spacing w:before="0" w:after="283"/>
              <w:rPr>
                <w:sz w:val="4"/>
                <w:szCs w:val="4"/>
              </w:rPr>
            </w:pPr>
            <w:r>
              <w:rPr>
                <w:sz w:val="4"/>
                <w:szCs w:val="4"/>
              </w:rPr>
            </w:r>
          </w:p>
        </w:tc>
      </w:tr>
      <w:tr>
        <w:trPr/>
        <w:tc>
          <w:tcPr>
            <w:tcW w:w="7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53"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353"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(incorporated by reference to Exhibit 3.1 to the Registrant’s Current Report on Form 8-K (File No. 001-39980), filed with the SEC on February 11, 2021).</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Amended and Restated Bylaws (incorporated by reference to Exhibit 3.1 to the Registrant’s Current Report on Form 8-K (File No. 001-39980), filed with the SEC on December 9, 2022).</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Certificate of Designations of the Series A Junior Participating Cumulative Preferred Stock of the Registrant (incorporated by reference to Exhibit 3.1 to the Registrant’s Current Report on Form 8-K (File No. 001-39980), filed with the SEC on March 7, 2023).</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Investors’ Rights Agreement, dated as of December 29, 2020, by and among the Registrant and certain of its stockholders (incorporated by reference to Exhibit 4.1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rFonts w:ascii="Times New Roman;serif" w:hAnsi="Times New Roman;serif"/>
                <w:b w:val="false"/>
                <w:sz w:val="20"/>
              </w:rPr>
              <w:t xml:space="preserve">Forms of Warrant to Purchase Common Stock (incorporated by reference to Exhibits </w:t>
            </w:r>
            <w:hyperlink r:id="rId6">
              <w:r>
                <w:rPr>
                  <w:rStyle w:val="InternetLink"/>
                  <w:rFonts w:ascii="Times New Roman;serif" w:hAnsi="Times New Roman;serif"/>
                  <w:b w:val="false"/>
                  <w:sz w:val="20"/>
                  <w:u w:val="single"/>
                </w:rPr>
                <w:t>4.2</w:t>
              </w:r>
            </w:hyperlink>
            <w:r>
              <w:rPr>
                <w:rFonts w:ascii="Times New Roman;serif" w:hAnsi="Times New Roman;serif"/>
                <w:b w:val="false"/>
                <w:sz w:val="20"/>
              </w:rPr>
              <w:t xml:space="preserve">, </w:t>
            </w:r>
            <w:hyperlink r:id="rId7">
              <w:r>
                <w:rPr>
                  <w:rStyle w:val="InternetLink"/>
                  <w:rFonts w:ascii="Times New Roman;serif" w:hAnsi="Times New Roman;serif"/>
                  <w:b w:val="false"/>
                  <w:sz w:val="20"/>
                  <w:u w:val="single"/>
                </w:rPr>
                <w:t>4.3</w:t>
              </w:r>
            </w:hyperlink>
            <w:r>
              <w:rPr>
                <w:rFonts w:ascii="Times New Roman" w:hAnsi="Times New Roman"/>
                <w:sz w:val="20"/>
              </w:rPr>
              <w:t> </w:t>
            </w:r>
            <w:r>
              <w:rPr>
                <w:rFonts w:ascii="Times New Roman;serif" w:hAnsi="Times New Roman;serif"/>
                <w:b w:val="false"/>
                <w:sz w:val="20"/>
              </w:rPr>
              <w:t xml:space="preserve">and </w:t>
            </w:r>
            <w:hyperlink r:id="rId8">
              <w:r>
                <w:rPr>
                  <w:rStyle w:val="InternetLink"/>
                  <w:rFonts w:ascii="Times New Roman;serif" w:hAnsi="Times New Roman;serif"/>
                  <w:b w:val="false"/>
                  <w:sz w:val="20"/>
                  <w:u w:val="single"/>
                </w:rPr>
                <w:t>4.4</w:t>
              </w:r>
            </w:hyperlink>
            <w:r>
              <w:rPr>
                <w:rFonts w:ascii="Times New Roman" w:hAnsi="Times New Roman"/>
                <w:sz w:val="20"/>
              </w:rPr>
              <w:t> </w:t>
            </w:r>
            <w:r>
              <w:rPr>
                <w:rFonts w:ascii="Times New Roman;serif" w:hAnsi="Times New Roman;serif"/>
                <w:b w:val="false"/>
                <w:sz w:val="20"/>
              </w:rPr>
              <w:t>to the Registrant’s Registration Statement on Form S-1 (File No. 333-252138)).</w:t>
            </w:r>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Description of Securities (incorporated by reference to Exhibit 4.3 to the Registrant's Annual Report on Form 10-K (File No. 001-39980), filed with the SEC on March 29, 2023).</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Stockholder Rights Agreement (incorporated by reference to Exhibit 4.1 to the Registrant’s Current Report on Form 8-K (File No. 001-39980), filed with the SEC on March 7, 2023).</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Sensei Biotherapeutics, Inc. 2018 Equity Incentive Plan, as amended, and forms of agreements thereunder (incorporated by reference to Exhibit 10.1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Sensei Biotherapeutics, Inc. 2021 Equity Incentive Plan and forms of agreements thereunder (incorporated by reference to Exhibit 10.2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Form of Indemnification Agreement entered into by and between Sensei Biotherapeutics, Inc. and each director and executive officer (incorporated by reference to Exhibit 10.4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Lease Agreement, by and between Sensei Biotherapeutics, Inc. and Are-Maryland No. 8 Corp., dated as of October 22, 2020 (incorporated by reference to Exhibit 10.9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Sensei Biotherapeutics, Inc. 2021 Employee Stock Purchase Plan (incorporated by reference to Exhibit 10.10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Second Amended and Restated Employment Agreement, by and between Sensei Biotherapeutics, Inc. and John Celebi, dated as of January 28, 2021 (incorporated by reference to Exhibit 10.12 to the Registrant’s Registration Statement on Form S-1 (File No. 333-252138)).</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nse-ex10_7.htm">
              <w:r>
                <w:rPr>
                  <w:rStyle w:val="InternetLink"/>
                  <w:rFonts w:ascii="Times New Roman;serif" w:hAnsi="Times New Roman;serif"/>
                  <w:b w:val="false"/>
                  <w:sz w:val="20"/>
                  <w:u w:val="single"/>
                </w:rPr>
                <w:t>Amended and Restated Non-Employee Director Compensation Policy.</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Lease Agreement, by and between Sensei Biotherapeutics, Inc. and RREF II 451D, LLC, dated as of January 13, 2021 (incorporated by reference to Exhibit 10.14 to the Registrant’s Annual Report on Form 10-K (File No. 001-39980) filed with the SEC on March 15, 2022).</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Amended and Restated Employment Agreement dated January 1, 2022, by and between the Registrant and Erin Colgan (incorporated by reference to Exhibit 10.16 to the Registrant’s Annual Report on Form 10-K (File No. 001-39980) filed with the SEC on March 15, 2022).</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Employment Agreement, dated May 5, 2022, by and between the Registrant and Patrick Gallagher (incorporated by reference to Exhibit 10.1 to the Registrant’s Quarterly Report on Form 10-Q (File No. 001-39980) filed with the SEC on August 9, 2022).</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Amended and Restated Employment Agreement, dated December 7, 2022, by and between the Registrant and Edward van der Horst (incorporated by reference to Exhibit 10.11 to the Registrant's Annual Report on Form 10-K (File No. 001-39980), filed with the SEC on March 29, 2023).</w:t>
              </w:r>
            </w:hyperlink>
          </w:p>
        </w:tc>
      </w:tr>
      <w:tr>
        <w:trPr/>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Separation from Employment Letter and Separation Agreement, by and between Sensei Biotherapeutics, Inc. and Robert Pierce, dated as of December 7, 2022 (incorporated by reference to Exhibit 10.12 to the Registrant's Annual Report on Form 10-K (File No. 001-39980), filed with the SEC on March 29, 2023).</w:t>
              </w:r>
            </w:hyperlink>
          </w:p>
        </w:tc>
      </w:tr>
    </w:tbl>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ind w:left="0" w:right="0" w:hanging="0"/>
        <w:jc w:val="left"/>
        <w:rPr/>
      </w:pPr>
      <w:r>
        <w:rPr/>
        <w:t> </w:t>
      </w:r>
    </w:p>
    <w:tbl>
      <w:tblPr>
        <w:tblW w:w="10205" w:type="dxa"/>
        <w:jc w:val="left"/>
        <w:tblInd w:w="0" w:type="dxa"/>
        <w:tblCellMar>
          <w:top w:w="28" w:type="dxa"/>
          <w:left w:w="28" w:type="dxa"/>
          <w:bottom w:w="28" w:type="dxa"/>
          <w:right w:w="28" w:type="dxa"/>
        </w:tblCellMar>
      </w:tblPr>
      <w:tblGrid>
        <w:gridCol w:w="693"/>
        <w:gridCol w:w="146"/>
        <w:gridCol w:w="9366"/>
      </w:tblGrid>
      <w:tr>
        <w:trPr/>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66" w:type="dxa"/>
            <w:tcBorders/>
            <w:shd w:fill="auto" w:val="clear"/>
            <w:vAlign w:val="center"/>
          </w:tcPr>
          <w:p>
            <w:pPr>
              <w:pStyle w:val="TableContents"/>
              <w:spacing w:before="0" w:after="283"/>
              <w:rPr>
                <w:sz w:val="4"/>
                <w:szCs w:val="4"/>
              </w:rPr>
            </w:pPr>
            <w:r>
              <w:rPr>
                <w:sz w:val="4"/>
                <w:szCs w:val="4"/>
              </w:rPr>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Consulting Agreement, by and between Sensei Biotherapeutics, Inc. and Doctor Hope LLC, dated as of December 7, 2022 (incorporated by reference to Exhibit 10.13 to the Registrant's Annual Report on Form 10-K (File No. 001-39980), filed with the SEC on March 29, 2023).</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Open Market Sales Agreement</w:t>
              </w:r>
            </w:hyperlink>
            <w:hyperlink r:id="rId24">
              <w:r>
                <w:rPr>
                  <w:rStyle w:val="InternetLink"/>
                  <w:rFonts w:ascii="Times New Roman;serif" w:hAnsi="Times New Roman;serif"/>
                  <w:b w:val="false"/>
                  <w:sz w:val="13"/>
                  <w:u w:val="single"/>
                </w:rPr>
                <w:t>SM</w:t>
              </w:r>
            </w:hyperlink>
            <w:hyperlink r:id="rId25">
              <w:r>
                <w:rPr>
                  <w:rStyle w:val="InternetLink"/>
                  <w:rFonts w:ascii="Times New Roman;serif" w:hAnsi="Times New Roman;serif"/>
                  <w:b w:val="false"/>
                  <w:sz w:val="20"/>
                  <w:u w:val="single"/>
                </w:rPr>
                <w:t>, dated March 15, 2022, by and between the Registrant and Jefferies LLC (incorporated by reference to Exhibit 1.2 to the Registrant’s Registration Statement on Form S-3 (File No. 333-263567), filed with the SEC on March 15, 2022).</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Subsidiaries of the Registrant (incorporated by reference to Exhibit 21.1 to the Registrant’s Annual Report on Form 10-K (File No. 001-39980) filed with the SEC on March 15, 2022).</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Consent of Deloitte &amp; Touche LLP, independent registered public accounting firm (incorporated by reference to Exhibit 23.1 to the Registrant's Annual Report on Form 10-K (File No. 001-39980), filed with the SEC on March 29, 2023).</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nse-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nse-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Inline XBRL Instance Document.</w:t>
            </w:r>
            <w:r>
              <w:rPr>
                <w:rFonts w:ascii="Times New Roman" w:hAnsi="Times New Roman"/>
                <w:sz w:val="20"/>
              </w:rPr>
              <w:t xml:space="preserve"> </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69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spacing w:before="0" w:after="0"/>
        <w:ind w:left="0" w:right="9360" w:hanging="0"/>
        <w:jc w:val="left"/>
        <w:rPr/>
      </w:pPr>
      <w:r>
        <w:rPr/>
        <w:t> </w:t>
      </w:r>
    </w:p>
    <w:p>
      <w:pPr>
        <w:pStyle w:val="TextBody"/>
        <w:spacing w:before="0" w:after="0"/>
        <w:ind w:left="0" w:right="0" w:hanging="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ind w:left="0" w:right="0" w:hanging="0"/>
        <w:jc w:val="left"/>
        <w:rPr>
          <w:rFonts w:ascii="Times New Roman;serif" w:hAnsi="Times New Roman;serif"/>
          <w:b w:val="false"/>
          <w:sz w:val="20"/>
        </w:rPr>
      </w:pPr>
      <w:r>
        <w:rPr>
          <w:rFonts w:ascii="Times New Roman;serif" w:hAnsi="Times New Roman;serif"/>
          <w:b w:val="false"/>
          <w:sz w:val="20"/>
        </w:rPr>
        <w:t>^ Furnished as an exhibit to the Registrant’s Annual Report on Form 10-K for the year ended December 31, 2022 (File No. 001-39980), filed with the SEC on March 29, 2023.</w:t>
      </w:r>
    </w:p>
    <w:p>
      <w:pPr>
        <w:pStyle w:val="TextBody"/>
        <w:spacing w:before="0" w:after="0"/>
        <w:ind w:left="0" w:right="0" w:hanging="0"/>
        <w:jc w:val="left"/>
        <w:rPr>
          <w:rFonts w:ascii="Times New Roman;serif" w:hAnsi="Times New Roman;serif"/>
          <w:b w:val="false"/>
          <w:sz w:val="20"/>
        </w:rPr>
      </w:pPr>
      <w:r>
        <w:rPr>
          <w:rFonts w:ascii="Times New Roman;serif" w:hAnsi="Times New Roman;serif"/>
          <w:b w:val="false"/>
          <w:sz w:val="20"/>
        </w:rPr>
        <w:t># Indicates management contract or compensatory plan.</w:t>
      </w:r>
    </w:p>
    <w:p>
      <w:pPr>
        <w:pStyle w:val="TextBody"/>
        <w:spacing w:before="360" w:after="0"/>
        <w:ind w:left="0" w:right="0" w:hanging="0"/>
        <w:jc w:val="left"/>
        <w:rPr>
          <w:rFonts w:ascii="Times New Roman" w:hAnsi="Times New Roman"/>
          <w:sz w:val="20"/>
        </w:rPr>
      </w:pPr>
      <w:bookmarkStart w:id="9" w:name="item_16_form_10k_summary"/>
      <w:bookmarkEnd w:id="9"/>
      <w:r>
        <w:rPr>
          <w:rFonts w:ascii="Times New Roman;serif" w:hAnsi="Times New Roman;serif"/>
          <w:b/>
          <w:sz w:val="20"/>
        </w:rPr>
        <w:t>Item 16. Form</w:t>
      </w:r>
      <w:r>
        <w:rPr>
          <w:rFonts w:ascii="Times New Roman" w:hAnsi="Times New Roman"/>
          <w:sz w:val="20"/>
        </w:rPr>
        <w:t xml:space="preserve"> </w:t>
      </w:r>
      <w:r>
        <w:rPr>
          <w:rFonts w:ascii="Times New Roman;serif" w:hAnsi="Times New Roman;serif"/>
          <w:b/>
          <w:sz w:val="20"/>
        </w:rPr>
        <w:t>10-K Summary</w:t>
      </w:r>
    </w:p>
    <w:p>
      <w:pPr>
        <w:pStyle w:val="TextBody"/>
        <w:spacing w:before="120" w:after="0"/>
        <w:ind w:left="0" w:right="0" w:firstLine="49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ind w:left="0" w:right="0" w:hanging="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SIGNATURES</w:t>
      </w:r>
    </w:p>
    <w:p>
      <w:pPr>
        <w:pStyle w:val="TextBody"/>
        <w:spacing w:before="360" w:after="0"/>
        <w:ind w:left="0" w:right="0" w:firstLine="49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spacing w:before="0" w:after="0"/>
        <w:ind w:left="0" w:right="0" w:hanging="0"/>
        <w:jc w:val="left"/>
        <w:rPr/>
      </w:pPr>
      <w:r>
        <w:rPr/>
        <w:t> </w:t>
      </w:r>
    </w:p>
    <w:tbl>
      <w:tblPr>
        <w:tblW w:w="5494" w:type="dxa"/>
        <w:jc w:val="left"/>
        <w:tblInd w:w="0" w:type="dxa"/>
        <w:tblCellMar>
          <w:top w:w="28" w:type="dxa"/>
          <w:left w:w="28" w:type="dxa"/>
          <w:bottom w:w="28" w:type="dxa"/>
          <w:right w:w="28" w:type="dxa"/>
        </w:tblCellMar>
      </w:tblPr>
      <w:tblGrid>
        <w:gridCol w:w="556"/>
        <w:gridCol w:w="1201"/>
        <w:gridCol w:w="406"/>
        <w:gridCol w:w="3331"/>
      </w:tblGrid>
      <w:tr>
        <w:trPr/>
        <w:tc>
          <w:tcPr>
            <w:tcW w:w="55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3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Sensei Biotherapeutics, Inc.</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May 1, 2023</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Celebi</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John Celebi</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bl>
    <w:p>
      <w:pPr>
        <w:pStyle w:val="TextBody"/>
        <w:spacing w:before="0" w:after="0"/>
        <w:ind w:left="0" w:right="0" w:hanging="0"/>
        <w:jc w:val="left"/>
        <w:rPr/>
      </w:pPr>
      <w:r>
        <w:rPr/>
        <w:t> </w:t>
      </w:r>
    </w:p>
    <w:p>
      <w:pPr>
        <w:pStyle w:val="TextBody"/>
        <w:spacing w:before="0" w:after="0"/>
        <w:ind w:left="0" w:right="0" w:firstLine="49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ind w:left="0" w:right="0" w:hanging="0"/>
        <w:jc w:val="left"/>
        <w:rPr/>
      </w:pPr>
      <w:r>
        <w:rPr/>
        <w:t> </w:t>
      </w:r>
    </w:p>
    <w:tbl>
      <w:tblPr>
        <w:tblW w:w="9850" w:type="dxa"/>
        <w:jc w:val="left"/>
        <w:tblInd w:w="0" w:type="dxa"/>
        <w:tblCellMar>
          <w:top w:w="28" w:type="dxa"/>
          <w:left w:w="28" w:type="dxa"/>
          <w:bottom w:w="28" w:type="dxa"/>
          <w:right w:w="28" w:type="dxa"/>
        </w:tblCellMar>
      </w:tblPr>
      <w:tblGrid>
        <w:gridCol w:w="2056"/>
        <w:gridCol w:w="146"/>
        <w:gridCol w:w="6316"/>
        <w:gridCol w:w="146"/>
        <w:gridCol w:w="1186"/>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1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Celebi</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President, Chief Executive Officer and Director (</w:t>
            </w:r>
            <w:r>
              <w:rPr>
                <w:rFonts w:ascii="Times New Roman;serif" w:hAnsi="Times New Roman;serif"/>
                <w:b w:val="false"/>
                <w:i/>
                <w:sz w:val="20"/>
              </w:rPr>
              <w:t>Principal Executive Officer</w:t>
            </w:r>
            <w:r>
              <w:rPr>
                <w:rFonts w:ascii="Times New Roman;serif" w:hAnsi="Times New Roman;serif"/>
                <w:b w:val="false"/>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John Celebi</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Erin Colgan</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Chief Financial Officer (Principal Financial and Accounting Officer</w:t>
            </w:r>
            <w:r>
              <w:rPr>
                <w:rFonts w:ascii="Times New Roman;serif" w:hAnsi="Times New Roman;serif"/>
                <w:b w:val="false"/>
                <w:i/>
                <w:sz w:val="20"/>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Erin Colgan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William Ringo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Chair</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William Ringo</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Bob Holmen</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Bob Holmen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Peyer, Ph.D.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James Peyer, Ph.D.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Samuel Broder, M.D.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Samuel Broder, M.D.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Thomas Ricks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Thomas Ricks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Deneen Vojta, M.D.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Deneen Vojta, M.D.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Jessie English, Ph.D.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Jessie English, Ph.D.</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Kristian Humer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May 1, 2023</w:t>
            </w:r>
          </w:p>
        </w:tc>
      </w:tr>
      <w:tr>
        <w:trPr/>
        <w:tc>
          <w:tcPr>
            <w:tcW w:w="20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Kristian Humer</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240" w:after="0"/>
        <w:ind w:left="0" w:right="0" w:hanging="0"/>
        <w:jc w:val="center"/>
        <w:rPr/>
      </w:pPr>
      <w:r>
        <w:rPr/>
        <w:t> </w:t>
      </w:r>
    </w:p>
    <w:p>
      <w:pPr>
        <w:pStyle w:val="HorizontalLine"/>
        <w:rPr/>
      </w:pPr>
      <w:r>
        <w:rPr/>
      </w:r>
      <w:r>
        <w:br w:type="page"/>
      </w:r>
    </w:p>
    <w:p>
      <w:pPr>
        <w:pStyle w:val="TextBody"/>
        <w:spacing w:before="0" w:after="0"/>
        <w:ind w:left="0" w:right="0" w:hanging="0"/>
        <w:jc w:val="right"/>
        <w:rPr>
          <w:rFonts w:ascii="Times New Roman" w:hAnsi="Times New Roman"/>
          <w:sz w:val="20"/>
        </w:rPr>
      </w:pPr>
      <w:bookmarkStart w:id="10" w:name="snse-ex10_7.htm"/>
      <w:bookmarkStart w:id="11" w:name="kssnseex10_7"/>
      <w:bookmarkEnd w:id="10"/>
      <w:bookmarkEnd w:id="11"/>
      <w:r>
        <w:rPr>
          <w:rFonts w:ascii="Times New Roman;serif" w:hAnsi="Times New Roman;serif"/>
          <w:b w:val="false"/>
          <w:smallCaps/>
          <w:sz w:val="22"/>
        </w:rPr>
        <w:t>E</w:t>
      </w:r>
      <w:r>
        <w:rPr>
          <w:rFonts w:ascii="Times New Roman;serif" w:hAnsi="Times New Roman;serif"/>
          <w:b w:val="false"/>
          <w:sz w:val="22"/>
        </w:rPr>
        <w:t>xhibit</w:t>
      </w:r>
      <w:r>
        <w:rPr>
          <w:rFonts w:ascii="Times New Roman" w:hAnsi="Times New Roman"/>
          <w:smallCaps/>
          <w:sz w:val="20"/>
        </w:rPr>
        <w:t xml:space="preserve"> </w:t>
      </w:r>
      <w:r>
        <w:rPr>
          <w:rFonts w:ascii="Times New Roman;serif" w:hAnsi="Times New Roman;serif"/>
          <w:b w:val="false"/>
          <w:smallCaps/>
          <w:sz w:val="22"/>
        </w:rPr>
        <w:t>10.7</w:t>
      </w:r>
    </w:p>
    <w:p>
      <w:pPr>
        <w:pStyle w:val="TextBody"/>
        <w:spacing w:before="0" w:after="0"/>
        <w:ind w:left="0" w:right="0" w:hanging="0"/>
        <w:jc w:val="center"/>
        <w:rPr>
          <w:rFonts w:ascii="Times New Roman;serif" w:hAnsi="Times New Roman;serif"/>
          <w:b/>
          <w:smallCaps/>
          <w:sz w:val="24"/>
        </w:rPr>
      </w:pPr>
      <w:r>
        <w:rPr>
          <w:rFonts w:ascii="Times New Roman;serif" w:hAnsi="Times New Roman;serif"/>
          <w:b/>
          <w:smallCaps/>
          <w:sz w:val="24"/>
        </w:rPr>
        <w:t>Sensei Biotherapeutics, Inc.</w:t>
      </w:r>
    </w:p>
    <w:p>
      <w:pPr>
        <w:pStyle w:val="TextBody"/>
        <w:spacing w:before="0" w:after="0"/>
        <w:ind w:left="0" w:right="0" w:hanging="0"/>
        <w:jc w:val="center"/>
        <w:rPr>
          <w:rFonts w:ascii="Times New Roman;serif" w:hAnsi="Times New Roman;serif"/>
          <w:b/>
          <w:smallCaps/>
          <w:sz w:val="24"/>
        </w:rPr>
      </w:pPr>
      <w:r>
        <w:rPr>
          <w:rFonts w:ascii="Times New Roman;serif" w:hAnsi="Times New Roman;serif"/>
          <w:b/>
          <w:smallCaps/>
          <w:sz w:val="24"/>
        </w:rPr>
        <w:t>Non-Employee Director Compensation Policy</w:t>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b/>
          <w:smallCaps/>
          <w:sz w:val="24"/>
        </w:rPr>
      </w:pPr>
      <w:r>
        <w:rPr>
          <w:rFonts w:ascii="Times New Roman;serif" w:hAnsi="Times New Roman;serif"/>
          <w:b/>
          <w:smallCaps/>
          <w:sz w:val="24"/>
        </w:rPr>
        <w:t>As Amended and Restated effective April 4, 2022</w:t>
      </w:r>
    </w:p>
    <w:p>
      <w:pPr>
        <w:pStyle w:val="TextBody"/>
        <w:spacing w:before="0" w:after="0"/>
        <w:ind w:left="0" w:right="0" w:hanging="0"/>
        <w:jc w:val="both"/>
        <w:rPr>
          <w:rFonts w:ascii="Times New Roman" w:hAnsi="Times New Roman"/>
          <w:sz w:val="20"/>
        </w:rPr>
      </w:pPr>
      <w:r>
        <w:rPr>
          <w:rFonts w:ascii="Times New Roman;serif" w:hAnsi="Times New Roman;serif"/>
          <w:b w:val="false"/>
          <w:sz w:val="24"/>
        </w:rPr>
        <w:t>Each member of the Board of Directors (the “</w:t>
      </w:r>
      <w:r>
        <w:rPr>
          <w:rFonts w:ascii="Times New Roman;serif" w:hAnsi="Times New Roman;serif"/>
          <w:b/>
          <w:i/>
          <w:sz w:val="24"/>
        </w:rPr>
        <w:t>Board</w:t>
      </w:r>
      <w:r>
        <w:rPr>
          <w:rFonts w:ascii="Times New Roman" w:hAnsi="Times New Roman"/>
          <w:sz w:val="20"/>
        </w:rPr>
        <w:t>”</w:t>
      </w:r>
      <w:r>
        <w:rPr>
          <w:rFonts w:ascii="Times New Roman;serif" w:hAnsi="Times New Roman;serif"/>
          <w:b w:val="false"/>
          <w:sz w:val="24"/>
        </w:rPr>
        <w:t>) who is not also serving as an employee of or consultant to Sensei Biotherapeutics, Inc.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or any of its subsidiaries (each such member, an “</w:t>
      </w:r>
      <w:r>
        <w:rPr>
          <w:rFonts w:ascii="Times New Roman;serif" w:hAnsi="Times New Roman;serif"/>
          <w:b/>
          <w:i/>
          <w:sz w:val="24"/>
        </w:rPr>
        <w:t>Eligible Director</w:t>
      </w:r>
      <w:r>
        <w:rPr>
          <w:rFonts w:ascii="Times New Roman" w:hAnsi="Times New Roman"/>
          <w:sz w:val="20"/>
        </w:rPr>
        <w:t>”</w:t>
      </w:r>
      <w:r>
        <w:rPr>
          <w:rFonts w:ascii="Times New Roman;serif" w:hAnsi="Times New Roman;serif"/>
          <w:b w:val="false"/>
          <w:sz w:val="24"/>
        </w:rPr>
        <w:t>) will receive the compensation described in this Non-Employee Director Compensation Policy for his or her Board service. An Eligible Director may decline all or any portion of his or her compensation by giving notice to the Company prior to the date cash may be paid or equity awards are to be granted, as the case may be. This policy may be amended at any time in the sole discretion of the Board or the Compensation Committee of the Board.</w:t>
      </w:r>
    </w:p>
    <w:p>
      <w:pPr>
        <w:pStyle w:val="TextBody"/>
        <w:spacing w:before="0" w:after="0"/>
        <w:ind w:left="0" w:right="0" w:hanging="0"/>
        <w:jc w:val="both"/>
        <w:rPr>
          <w:rFonts w:ascii="Times New Roman;serif" w:hAnsi="Times New Roman;serif"/>
          <w:b/>
          <w:sz w:val="24"/>
        </w:rPr>
      </w:pPr>
      <w:r>
        <w:rPr>
          <w:rFonts w:ascii="Times New Roman;serif" w:hAnsi="Times New Roman;serif"/>
          <w:b/>
          <w:sz w:val="24"/>
        </w:rPr>
        <w:t>Annual Cash Compensation</w:t>
      </w:r>
    </w:p>
    <w:p>
      <w:pPr>
        <w:pStyle w:val="TextBody"/>
        <w:spacing w:before="0" w:after="0"/>
        <w:ind w:left="0" w:right="0" w:hanging="0"/>
        <w:jc w:val="both"/>
        <w:rPr>
          <w:rFonts w:ascii="Times New Roman;serif" w:hAnsi="Times New Roman;serif"/>
          <w:b w:val="false"/>
          <w:sz w:val="24"/>
        </w:rPr>
      </w:pPr>
      <w:r>
        <w:rPr>
          <w:rFonts w:ascii="Times New Roman;serif" w:hAnsi="Times New Roman;serif"/>
          <w:b w:val="false"/>
          <w:sz w:val="24"/>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b w:val="false"/>
          <w:sz w:val="24"/>
        </w:rPr>
      </w:pPr>
      <w:r>
        <w:rPr>
          <w:rFonts w:ascii="Times New Roman" w:hAnsi="Times New Roman"/>
          <w:b w:val="false"/>
          <w:sz w:val="24"/>
        </w:rPr>
        <w:t>1.</w:t>
      </w:r>
    </w:p>
    <w:p>
      <w:pPr>
        <w:pStyle w:val="TextBody"/>
        <w:spacing w:before="0" w:after="0"/>
        <w:jc w:val="both"/>
        <w:rPr/>
      </w:pPr>
      <w:r>
        <w:rPr>
          <w:rFonts w:ascii="Times New Roman;serif" w:hAnsi="Times New Roman;serif"/>
          <w:b w:val="false"/>
          <w:sz w:val="24"/>
          <w:u w:val="single"/>
        </w:rPr>
        <w:t>Annual Board Service Retainer</w:t>
      </w:r>
      <w:r>
        <w:rPr>
          <w:rFonts w:ascii="Times New Roman;serif" w:hAnsi="Times New Roman;serif"/>
          <w:b w:val="false"/>
          <w:sz w:val="24"/>
        </w:rPr>
        <w:t>:</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a.</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All Eligible Directors: $35,000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b.</w:t>
      </w:r>
    </w:p>
    <w:p>
      <w:pPr>
        <w:pStyle w:val="TextBody"/>
        <w:jc w:val="both"/>
        <w:rPr>
          <w:rFonts w:ascii="Times New Roman;serif" w:hAnsi="Times New Roman;serif"/>
          <w:b w:val="false"/>
          <w:sz w:val="24"/>
        </w:rPr>
      </w:pPr>
      <w:r>
        <w:rPr>
          <w:rFonts w:ascii="Times New Roman;serif" w:hAnsi="Times New Roman;serif"/>
          <w:b w:val="false"/>
          <w:sz w:val="24"/>
        </w:rPr>
        <w:t>Independent Chair of the Board Service Retainer (in addition to Eligible Director Service Retainer): $35,000</w:t>
      </w:r>
    </w:p>
    <w:p>
      <w:pPr>
        <w:pStyle w:val="TextBody"/>
        <w:spacing w:before="0" w:after="0"/>
        <w:ind w:left="1440" w:right="0" w:hanging="0"/>
        <w:jc w:val="both"/>
        <w:rPr/>
      </w:pPr>
      <w:r>
        <w:rPr/>
        <w:t> </w:t>
      </w:r>
    </w:p>
    <w:p>
      <w:pPr>
        <w:pStyle w:val="TextBody"/>
        <w:spacing w:before="0" w:after="0"/>
        <w:ind w:left="360" w:right="0" w:hanging="0"/>
        <w:jc w:val="both"/>
        <w:rPr>
          <w:rFonts w:ascii="Times New Roman" w:hAnsi="Times New Roman"/>
          <w:b w:val="false"/>
          <w:sz w:val="24"/>
        </w:rPr>
      </w:pPr>
      <w:r>
        <w:rPr>
          <w:rFonts w:ascii="Times New Roman" w:hAnsi="Times New Roman"/>
          <w:b w:val="false"/>
          <w:sz w:val="24"/>
        </w:rPr>
        <w:t>2.</w:t>
      </w:r>
    </w:p>
    <w:p>
      <w:pPr>
        <w:pStyle w:val="TextBody"/>
        <w:spacing w:before="0" w:after="0"/>
        <w:jc w:val="both"/>
        <w:rPr/>
      </w:pPr>
      <w:r>
        <w:rPr>
          <w:rFonts w:ascii="Times New Roman;serif" w:hAnsi="Times New Roman;serif"/>
          <w:b w:val="false"/>
          <w:sz w:val="24"/>
          <w:u w:val="single"/>
        </w:rPr>
        <w:t>Annual Committee Chair Service Retainer</w:t>
      </w:r>
      <w:r>
        <w:rPr>
          <w:rFonts w:ascii="Times New Roman;serif" w:hAnsi="Times New Roman;serif"/>
          <w:b w:val="false"/>
          <w:sz w:val="24"/>
        </w:rPr>
        <w:t>:</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a.</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Chair of the Audit Committee: $15,000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b.</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Chair of the Compensation Committee: $15,000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c.</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Chair of the Nominating and Corporate Governance Committee: $8,000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Chair of the Science and Technology Committee: $10,000</w:t>
      </w:r>
    </w:p>
    <w:p>
      <w:pPr>
        <w:pStyle w:val="TextBody"/>
        <w:spacing w:before="0" w:after="0"/>
        <w:ind w:left="1440" w:right="0" w:hanging="0"/>
        <w:jc w:val="both"/>
        <w:rPr/>
      </w:pPr>
      <w:r>
        <w:rPr/>
        <w:t> </w:t>
      </w:r>
    </w:p>
    <w:p>
      <w:pPr>
        <w:pStyle w:val="TextBody"/>
        <w:spacing w:before="0" w:after="0"/>
        <w:ind w:left="360" w:right="0" w:hanging="0"/>
        <w:jc w:val="both"/>
        <w:rPr>
          <w:rFonts w:ascii="Times New Roman" w:hAnsi="Times New Roman"/>
          <w:b w:val="false"/>
          <w:sz w:val="24"/>
        </w:rPr>
      </w:pPr>
      <w:r>
        <w:rPr>
          <w:rFonts w:ascii="Times New Roman" w:hAnsi="Times New Roman"/>
          <w:b w:val="false"/>
          <w:sz w:val="24"/>
        </w:rPr>
        <w:t>3.</w:t>
      </w:r>
    </w:p>
    <w:p>
      <w:pPr>
        <w:pStyle w:val="TextBody"/>
        <w:spacing w:before="0" w:after="0"/>
        <w:jc w:val="both"/>
        <w:rPr/>
      </w:pPr>
      <w:r>
        <w:rPr>
          <w:rFonts w:ascii="Times New Roman;serif" w:hAnsi="Times New Roman;serif"/>
          <w:b w:val="false"/>
          <w:sz w:val="24"/>
          <w:u w:val="single"/>
        </w:rPr>
        <w:t>Annual Committee Member Service Retainer (not applicable to Committee Chairs)</w:t>
      </w:r>
      <w:r>
        <w:rPr>
          <w:rFonts w:ascii="Times New Roman;serif" w:hAnsi="Times New Roman;serif"/>
          <w:b w:val="false"/>
          <w:sz w:val="24"/>
        </w:rPr>
        <w:t>:</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a.</w:t>
      </w:r>
    </w:p>
    <w:p>
      <w:pPr>
        <w:pStyle w:val="TextBody"/>
        <w:spacing w:before="0" w:after="0"/>
        <w:jc w:val="both"/>
        <w:rPr>
          <w:rFonts w:ascii="Times New Roman;serif" w:hAnsi="Times New Roman;serif"/>
          <w:b w:val="false"/>
          <w:sz w:val="24"/>
        </w:rPr>
      </w:pPr>
      <w:r>
        <w:rPr>
          <w:rFonts w:ascii="Times New Roman;serif" w:hAnsi="Times New Roman;serif"/>
          <w:b w:val="false"/>
          <w:sz w:val="24"/>
        </w:rPr>
        <w:t>Member of the Audit Committee: $7,500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b.</w:t>
      </w:r>
    </w:p>
    <w:p>
      <w:pPr>
        <w:pStyle w:val="TextBody"/>
        <w:spacing w:before="0" w:after="0"/>
        <w:jc w:val="both"/>
        <w:rPr>
          <w:rFonts w:ascii="Times New Roman;serif" w:hAnsi="Times New Roman;serif"/>
          <w:b w:val="false"/>
          <w:sz w:val="24"/>
        </w:rPr>
      </w:pPr>
      <w:r>
        <w:rPr>
          <w:rFonts w:ascii="Times New Roman;serif" w:hAnsi="Times New Roman;serif"/>
          <w:b w:val="false"/>
          <w:sz w:val="24"/>
        </w:rPr>
        <w:t>Member of the Compensation Committee: $5,000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c.</w:t>
      </w:r>
    </w:p>
    <w:p>
      <w:pPr>
        <w:pStyle w:val="TextBody"/>
        <w:spacing w:before="0" w:after="0"/>
        <w:jc w:val="both"/>
        <w:rPr>
          <w:rFonts w:ascii="Times New Roman;serif" w:hAnsi="Times New Roman;serif"/>
          <w:b w:val="false"/>
          <w:sz w:val="24"/>
        </w:rPr>
      </w:pPr>
      <w:r>
        <w:rPr>
          <w:rFonts w:ascii="Times New Roman;serif" w:hAnsi="Times New Roman;serif"/>
          <w:b w:val="false"/>
          <w:sz w:val="24"/>
        </w:rPr>
        <w:t>Member of the Nominating and Corporate Governance Committee: $4,000</w:t>
      </w:r>
    </w:p>
    <w:p>
      <w:pPr>
        <w:pStyle w:val="TextBody"/>
        <w:spacing w:before="0" w:after="0"/>
        <w:ind w:left="1080" w:right="0" w:hanging="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Member of the Science and Technology Committee: $5,000</w:t>
      </w:r>
    </w:p>
    <w:p>
      <w:pPr>
        <w:pStyle w:val="TextBody"/>
        <w:spacing w:before="0" w:after="0"/>
        <w:ind w:left="0" w:right="0" w:hanging="0"/>
        <w:jc w:val="both"/>
        <w:rPr>
          <w:rFonts w:ascii="Times New Roman;serif" w:hAnsi="Times New Roman;serif"/>
          <w:b/>
          <w:sz w:val="24"/>
        </w:rPr>
      </w:pPr>
      <w:r>
        <w:rPr>
          <w:rFonts w:ascii="Times New Roman;serif" w:hAnsi="Times New Roman;serif"/>
          <w:b/>
          <w:sz w:val="24"/>
        </w:rPr>
        <w:t>Equity Compensation</w:t>
      </w:r>
    </w:p>
    <w:p>
      <w:pPr>
        <w:pStyle w:val="TextBody"/>
        <w:spacing w:before="0" w:after="0"/>
        <w:ind w:left="0" w:right="0" w:hanging="0"/>
        <w:jc w:val="both"/>
        <w:rPr>
          <w:rFonts w:ascii="Times New Roman" w:hAnsi="Times New Roman"/>
          <w:sz w:val="20"/>
        </w:rPr>
      </w:pPr>
      <w:r>
        <w:rPr>
          <w:rFonts w:ascii="Times New Roman;serif" w:hAnsi="Times New Roman;serif"/>
          <w:b w:val="false"/>
          <w:sz w:val="24"/>
        </w:rPr>
        <w:t>The equity compensation set forth below will be granted under the Company’s 2021 Equity Incentive Plan (the “</w:t>
      </w:r>
      <w:r>
        <w:rPr>
          <w:rFonts w:ascii="Times New Roman;serif" w:hAnsi="Times New Roman;serif"/>
          <w:b/>
          <w:i/>
          <w:sz w:val="24"/>
        </w:rPr>
        <w:t>Plan</w:t>
      </w:r>
      <w:r>
        <w:rPr>
          <w:rFonts w:ascii="Times New Roman" w:hAnsi="Times New Roman"/>
          <w:sz w:val="20"/>
        </w:rPr>
        <w:t>”</w:t>
      </w:r>
      <w:r>
        <w:rPr>
          <w:rFonts w:ascii="Times New Roman;serif" w:hAnsi="Times New Roman;serif"/>
          <w:b w:val="false"/>
          <w:sz w:val="24"/>
        </w:rPr>
        <w:t>). All stock options granted under this policy will be nonstatutory stock</w:t>
      </w:r>
      <w:r>
        <w:rPr>
          <w:rFonts w:ascii="Times New Roman" w:hAnsi="Times New Roman"/>
          <w:sz w:val="20"/>
        </w:rPr>
        <w:t xml:space="preserve"> </w:t>
      </w:r>
    </w:p>
    <w:p>
      <w:pPr>
        <w:pStyle w:val="HorizontalLine"/>
        <w:rPr/>
      </w:pPr>
      <w:r>
        <w:rPr/>
      </w:r>
    </w:p>
    <w:p>
      <w:pPr>
        <w:pStyle w:val="TextBody"/>
        <w:spacing w:before="0" w:after="0"/>
        <w:ind w:left="0" w:right="0" w:hanging="0"/>
        <w:jc w:val="both"/>
        <w:rPr>
          <w:rFonts w:ascii="Times New Roman" w:hAnsi="Times New Roman"/>
          <w:sz w:val="20"/>
        </w:rPr>
      </w:pPr>
      <w:r>
        <w:rPr>
          <w:rFonts w:ascii="Times New Roman;serif" w:hAnsi="Times New Roman;serif"/>
          <w:b w:val="false"/>
          <w:sz w:val="24"/>
        </w:rPr>
        <w:t>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r>
        <w:rPr>
          <w:rFonts w:ascii="Times New Roman" w:hAnsi="Times New Roman"/>
          <w:sz w:val="20"/>
        </w:rPr>
        <w:t xml:space="preserve"> </w:t>
      </w:r>
    </w:p>
    <w:p>
      <w:pPr>
        <w:pStyle w:val="TextBody"/>
        <w:spacing w:before="0" w:after="0"/>
        <w:ind w:left="360" w:right="0" w:hanging="0"/>
        <w:jc w:val="both"/>
        <w:rPr>
          <w:rFonts w:ascii="Times New Roman" w:hAnsi="Times New Roman"/>
          <w:b w:val="false"/>
          <w:sz w:val="24"/>
        </w:rPr>
      </w:pPr>
      <w:r>
        <w:rPr>
          <w:rFonts w:ascii="Times New Roman" w:hAnsi="Times New Roman"/>
          <w:b w:val="false"/>
          <w:sz w:val="24"/>
        </w:rPr>
        <w:t>1.</w:t>
      </w:r>
    </w:p>
    <w:p>
      <w:pPr>
        <w:pStyle w:val="TextBody"/>
        <w:jc w:val="both"/>
        <w:rPr/>
      </w:pPr>
      <w:r>
        <w:rPr>
          <w:rFonts w:ascii="Times New Roman;serif" w:hAnsi="Times New Roman;serif"/>
          <w:b w:val="false"/>
          <w:sz w:val="24"/>
          <w:u w:val="single"/>
        </w:rPr>
        <w:t>Initial Grants</w:t>
      </w:r>
      <w:r>
        <w:rPr>
          <w:rFonts w:ascii="Times New Roman;serif" w:hAnsi="Times New Roman;serif"/>
          <w:b w:val="false"/>
          <w:sz w:val="24"/>
        </w:rPr>
        <w:t>: For each Eligible Director who is first elected or appointed to the Board,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29,100 shares of Common Stock (the “</w:t>
      </w:r>
      <w:r>
        <w:rPr>
          <w:rFonts w:ascii="Times New Roman;serif" w:hAnsi="Times New Roman;serif"/>
          <w:b/>
          <w:i/>
          <w:sz w:val="24"/>
        </w:rPr>
        <w:t>Initial Option Grant</w:t>
      </w:r>
      <w:r>
        <w:rPr/>
        <w:t>”</w:t>
      </w:r>
      <w:r>
        <w:rPr>
          <w:rFonts w:ascii="Times New Roman;serif" w:hAnsi="Times New Roman;serif"/>
          <w:b w:val="false"/>
          <w:sz w:val="24"/>
        </w:rPr>
        <w:t>) and a restricted stock unit award for 8,933 shares of Common Stock (the “</w:t>
      </w:r>
      <w:r>
        <w:rPr>
          <w:rFonts w:ascii="Times New Roman;serif" w:hAnsi="Times New Roman;serif"/>
          <w:b/>
          <w:i/>
          <w:sz w:val="24"/>
        </w:rPr>
        <w:t>Initial RSU Award</w:t>
      </w:r>
      <w:r>
        <w:rPr/>
        <w:t>”</w:t>
      </w:r>
      <w:r>
        <w:rPr>
          <w:rFonts w:ascii="Times New Roman;serif" w:hAnsi="Times New Roman;serif"/>
          <w:b w:val="false"/>
          <w:sz w:val="24"/>
        </w:rPr>
        <w:t>). The shares subject to each Initial Option Grant will vest in equal monthly installments over a three year period such that the option is fully vested on the third anniversary of the date of grant, subject to the Eligible Director’s Continuous Service through each such vesting date and will vest in full upon a Change in Control, subject to the Eligible Director’s Continuous Service through such date. The shares subject to each Initial RSU Award will vest in equal annual installments over a three year period such that the Initial RSU Award is fully vested on the third anniversary of the date of grant, subject to the Eligible Director’s Continuous Service through each such vesting date and will vest in full upon a Change in Control, subject to the Eligible Director’s Continuous Service through such date. In addition, if an Independent Chair is elected or appointed to the Board, in addition to the Initial RSU Award, on the date of such Independent Chair’s initial election or appointment to the Board (or, if such date is not a market trading day, the first market trading day thereafter), the Independent Chair will be automatically, and without further action by the Board or the Compensation Committee of the Board, granted a restricted stock unit award for 10,000 shares of Common Stock (the “</w:t>
      </w:r>
      <w:r>
        <w:rPr>
          <w:rFonts w:ascii="Times New Roman;serif" w:hAnsi="Times New Roman;serif"/>
          <w:b/>
          <w:i/>
          <w:sz w:val="24"/>
        </w:rPr>
        <w:t>Independent Chair RSU Award</w:t>
      </w:r>
      <w:r>
        <w:rPr/>
        <w:t>”</w:t>
      </w:r>
      <w:r>
        <w:rPr>
          <w:rFonts w:ascii="Times New Roman;serif" w:hAnsi="Times New Roman;serif"/>
          <w:b w:val="false"/>
          <w:sz w:val="24"/>
        </w:rPr>
        <w:t xml:space="preserve">). The shares subject to the Independent Chair RSU Award will vest in full on the first anniversary of the date of grant, subject to the Independent Chair’s Continuous Service through such vesting date; provided that the Independent Chair RSU Award will vest in full upon a Change in Control, subject to the Independent Chair’s Continuous Service through such date. </w:t>
      </w:r>
    </w:p>
    <w:p>
      <w:pPr>
        <w:pStyle w:val="TextBody"/>
        <w:spacing w:before="0" w:after="0"/>
        <w:ind w:left="720" w:right="0" w:hanging="0"/>
        <w:jc w:val="both"/>
        <w:rPr/>
      </w:pPr>
      <w:r>
        <w:rPr/>
        <w:t> </w:t>
      </w:r>
    </w:p>
    <w:p>
      <w:pPr>
        <w:pStyle w:val="TextBody"/>
        <w:spacing w:before="0" w:after="0"/>
        <w:ind w:left="360" w:right="0" w:hanging="0"/>
        <w:jc w:val="both"/>
        <w:rPr>
          <w:rFonts w:ascii="Times New Roman" w:hAnsi="Times New Roman"/>
          <w:b w:val="false"/>
          <w:sz w:val="24"/>
        </w:rPr>
      </w:pPr>
      <w:r>
        <w:rPr>
          <w:rFonts w:ascii="Times New Roman" w:hAnsi="Times New Roman"/>
          <w:b w:val="false"/>
          <w:sz w:val="24"/>
        </w:rPr>
        <w:t>2.</w:t>
      </w:r>
    </w:p>
    <w:p>
      <w:pPr>
        <w:pStyle w:val="TextBody"/>
        <w:spacing w:before="0" w:after="0"/>
        <w:jc w:val="both"/>
        <w:rPr/>
      </w:pPr>
      <w:r>
        <w:rPr>
          <w:rFonts w:ascii="Times New Roman;serif" w:hAnsi="Times New Roman;serif"/>
          <w:b w:val="false"/>
          <w:sz w:val="24"/>
          <w:u w:val="single"/>
        </w:rPr>
        <w:t>Annual Grants</w:t>
      </w:r>
      <w:r>
        <w:rPr>
          <w:rFonts w:ascii="Times New Roman;serif" w:hAnsi="Times New Roman;serif"/>
          <w:b w:val="false"/>
          <w:sz w:val="24"/>
        </w:rPr>
        <w:t>: On the date of each annual stockholder meeting of the Company, each Eligible Director who has served as a non-employee member of the Board for at least six months prior to such stockholder meeting and who continues to serve as a non-employee member of the Board following such stockholder meeting will be automatically, and without further action by the Board or the Compensation Committee of the Board, granted a stock option to purchase 14,550 shares of Common Stock (the “</w:t>
      </w:r>
      <w:r>
        <w:rPr>
          <w:rFonts w:ascii="Times New Roman;serif" w:hAnsi="Times New Roman;serif"/>
          <w:b/>
          <w:i/>
          <w:sz w:val="24"/>
        </w:rPr>
        <w:t>Annual Option Grant</w:t>
      </w:r>
      <w:r>
        <w:rPr/>
        <w:t>”</w:t>
      </w:r>
      <w:r>
        <w:rPr>
          <w:rFonts w:ascii="Times New Roman;serif" w:hAnsi="Times New Roman;serif"/>
          <w:b w:val="false"/>
          <w:sz w:val="24"/>
        </w:rPr>
        <w:t>) and a restricted stock unit award for 4,466 shares of Common Stock (the “</w:t>
      </w:r>
      <w:r>
        <w:rPr>
          <w:rFonts w:ascii="Times New Roman;serif" w:hAnsi="Times New Roman;serif"/>
          <w:b/>
          <w:i/>
          <w:sz w:val="24"/>
        </w:rPr>
        <w:t>Annual RSU Award</w:t>
      </w:r>
      <w:r>
        <w:rPr/>
        <w:t>”</w:t>
      </w:r>
      <w:r>
        <w:rPr>
          <w:rFonts w:ascii="Times New Roman;serif" w:hAnsi="Times New Roman;serif"/>
          <w:b w:val="false"/>
          <w:sz w:val="24"/>
        </w:rPr>
        <w:t xml:space="preserve">). The shares subject to the Annual Option Grant will vest in equal monthly installments over a one year period such that the option is fully vested on the first anniversary of the date of grant, subject to the Eligible Director’s Continuous Service through each such vesting date; provided, that the Annual Option Grant will in any case be fully vested on the date of Company’s next annual stockholder meeting, subject to the Eligible Director’s Continuous Service through such vesting date; provided, further, that the Annual Option Grant will vest in full upon a Change in Control, subject to the Eligible Director’s Continuous Service through such date. The shares subject to the Annual RSU </w:t>
      </w:r>
    </w:p>
    <w:p>
      <w:pPr>
        <w:pStyle w:val="HorizontalLine"/>
        <w:rPr/>
      </w:pPr>
      <w:r>
        <w:rPr/>
      </w:r>
    </w:p>
    <w:p>
      <w:pPr>
        <w:pStyle w:val="TextBody"/>
        <w:ind w:left="360" w:right="0" w:hanging="0"/>
        <w:jc w:val="both"/>
        <w:rPr>
          <w:rFonts w:ascii="Times New Roman;serif" w:hAnsi="Times New Roman;serif"/>
          <w:b w:val="false"/>
          <w:sz w:val="24"/>
        </w:rPr>
      </w:pPr>
      <w:r>
        <w:rPr>
          <w:rFonts w:ascii="Times New Roman;serif" w:hAnsi="Times New Roman;serif"/>
          <w:b w:val="false"/>
          <w:sz w:val="24"/>
        </w:rPr>
        <w:t>Award will vest in full on the first anniversary of the date of grant, subject to the Eligible Director’s Continuous Service through such vesting date; provided that the Annual RSU Award will vest in full upon a Change in Control, subject to the Eligible Director’s Continuous Service through such date.</w:t>
      </w:r>
    </w:p>
    <w:p>
      <w:pPr>
        <w:pStyle w:val="TextBody"/>
        <w:spacing w:before="0" w:after="0"/>
        <w:ind w:left="0" w:right="0" w:hanging="0"/>
        <w:jc w:val="both"/>
        <w:rPr/>
      </w:pPr>
      <w:r>
        <w:rPr/>
        <w:t> </w:t>
      </w:r>
    </w:p>
    <w:p>
      <w:pPr>
        <w:pStyle w:val="HorizontalLine"/>
        <w:rPr/>
      </w:pPr>
      <w:r>
        <w:rPr/>
      </w:r>
      <w:r>
        <w:br w:type="page"/>
      </w:r>
    </w:p>
    <w:p>
      <w:pPr>
        <w:pStyle w:val="TextBody"/>
        <w:spacing w:before="0" w:after="0"/>
        <w:ind w:left="0" w:right="0" w:hanging="0"/>
        <w:jc w:val="left"/>
        <w:rPr/>
      </w:pPr>
      <w:bookmarkStart w:id="12" w:name="snse-ex31_1.htm"/>
      <w:bookmarkStart w:id="13" w:name="kssnseex31_1"/>
      <w:bookmarkEnd w:id="12"/>
      <w:bookmarkEnd w:id="13"/>
      <w:r>
        <w:rPr/>
        <w:t> </w:t>
      </w:r>
    </w:p>
    <w:p>
      <w:pPr>
        <w:pStyle w:val="TextBody"/>
        <w:spacing w:before="0" w:after="0"/>
        <w:ind w:left="0" w:right="0" w:hanging="0"/>
        <w:jc w:val="right"/>
        <w:rPr>
          <w:rFonts w:ascii="Times New Roman;serif" w:hAnsi="Times New Roman;serif"/>
          <w:b/>
          <w:sz w:val="20"/>
        </w:rPr>
      </w:pPr>
      <w:r>
        <w:rPr>
          <w:rFonts w:ascii="Times New Roman;serif" w:hAnsi="Times New Roman;serif"/>
          <w:b/>
          <w:sz w:val="20"/>
        </w:rPr>
        <w:t>Exhibit 31.1</w:t>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spacing w:before="0" w:after="0"/>
        <w:ind w:left="0" w:right="0" w:hanging="0"/>
        <w:jc w:val="center"/>
        <w:rPr>
          <w:rFonts w:ascii="Times New Roman" w:hAnsi="Times New Roman"/>
          <w:sz w:val="20"/>
        </w:rPr>
      </w:pPr>
      <w:r>
        <w:rPr>
          <w:rFonts w:ascii="Times New Roman;serif" w:hAnsi="Times New Roman;serif"/>
          <w:b/>
          <w:sz w:val="20"/>
        </w:rPr>
        <w:t>PURSUANT TO SECTION 302 OF THE SARBANES-OXLEY ACT OF 2002</w:t>
        <w:br/>
      </w:r>
      <w:r>
        <w:rPr>
          <w:rFonts w:ascii="Times New Roman" w:hAnsi="Times New Roman"/>
          <w:sz w:val="20"/>
        </w:rPr>
        <w:t> </w:t>
      </w:r>
    </w:p>
    <w:p>
      <w:pPr>
        <w:pStyle w:val="TextBody"/>
        <w:spacing w:before="120" w:after="0"/>
        <w:ind w:left="0" w:right="0" w:hanging="0"/>
        <w:jc w:val="left"/>
        <w:rPr>
          <w:rFonts w:ascii="Times New Roman;serif" w:hAnsi="Times New Roman;serif"/>
          <w:b w:val="false"/>
          <w:sz w:val="20"/>
        </w:rPr>
      </w:pPr>
      <w:r>
        <w:rPr>
          <w:rFonts w:ascii="Times New Roman;serif" w:hAnsi="Times New Roman;serif"/>
          <w:b w:val="false"/>
          <w:sz w:val="20"/>
        </w:rPr>
        <w:t>I, John Celebi, certify that:</w:t>
      </w:r>
    </w:p>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Annual Report on Form 10-K/A for the year ended December 31, 2022 of Sensei Biotherapeutics, Inc. (the “registrant”);</w:t>
      </w:r>
    </w:p>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0" w:right="0" w:hanging="490"/>
        <w:jc w:val="left"/>
        <w:rPr/>
      </w:pPr>
      <w:r>
        <w:rPr/>
        <w:t> </w:t>
      </w:r>
    </w:p>
    <w:tbl>
      <w:tblPr>
        <w:tblW w:w="5407" w:type="dxa"/>
        <w:jc w:val="left"/>
        <w:tblInd w:w="0" w:type="dxa"/>
        <w:tblCellMar>
          <w:top w:w="28" w:type="dxa"/>
          <w:left w:w="28" w:type="dxa"/>
          <w:bottom w:w="28" w:type="dxa"/>
          <w:right w:w="28" w:type="dxa"/>
        </w:tblCellMar>
      </w:tblPr>
      <w:tblGrid>
        <w:gridCol w:w="1636"/>
        <w:gridCol w:w="109"/>
        <w:gridCol w:w="406"/>
        <w:gridCol w:w="325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Celebi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President and Chief Executive Officer</w:t>
            </w:r>
            <w:r>
              <w:rPr>
                <w:rFonts w:ascii="Times New Roman" w:hAnsi="Times New Roman"/>
                <w:sz w:val="20"/>
              </w:rPr>
              <w:t xml:space="preserve">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(Principal Executive Officer)</w:t>
            </w:r>
            <w:r>
              <w:rPr>
                <w:rFonts w:ascii="Times New Roman" w:hAnsi="Times New Roman"/>
                <w:sz w:val="20"/>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rPr/>
      </w:pPr>
      <w:r>
        <w:rPr/>
      </w:r>
      <w:r>
        <w:br w:type="page"/>
      </w:r>
    </w:p>
    <w:p>
      <w:pPr>
        <w:pStyle w:val="TextBody"/>
        <w:spacing w:before="0" w:after="0"/>
        <w:ind w:left="0" w:right="0" w:hanging="0"/>
        <w:jc w:val="left"/>
        <w:rPr/>
      </w:pPr>
      <w:bookmarkStart w:id="14" w:name="snse-ex31_2.htm"/>
      <w:bookmarkStart w:id="15" w:name="kssnseex31_2"/>
      <w:bookmarkEnd w:id="14"/>
      <w:bookmarkEnd w:id="15"/>
      <w:r>
        <w:rPr/>
        <w:t> </w:t>
      </w:r>
    </w:p>
    <w:p>
      <w:pPr>
        <w:pStyle w:val="TextBody"/>
        <w:spacing w:before="0" w:after="0"/>
        <w:ind w:left="0" w:right="0" w:hanging="0"/>
        <w:jc w:val="right"/>
        <w:rPr>
          <w:rFonts w:ascii="Times New Roman;serif" w:hAnsi="Times New Roman;serif"/>
          <w:b/>
          <w:sz w:val="20"/>
        </w:rPr>
      </w:pPr>
      <w:r>
        <w:rPr>
          <w:rFonts w:ascii="Times New Roman;serif" w:hAnsi="Times New Roman;serif"/>
          <w:b/>
          <w:sz w:val="20"/>
        </w:rPr>
        <w:t>Exhibit 31.2</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br/>
        <w:t>CERTIFICATION OF PRINCIPAL FINANCIAL OFFICER</w:t>
      </w:r>
    </w:p>
    <w:p>
      <w:pPr>
        <w:pStyle w:val="TextBody"/>
        <w:spacing w:before="0" w:after="0"/>
        <w:ind w:left="0" w:right="0" w:hanging="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spacing w:before="0" w:after="0"/>
        <w:ind w:left="0" w:right="0" w:hanging="0"/>
        <w:jc w:val="center"/>
        <w:rPr/>
      </w:pPr>
      <w:r>
        <w:rPr/>
        <w:t> </w:t>
      </w:r>
    </w:p>
    <w:p>
      <w:pPr>
        <w:pStyle w:val="TextBody"/>
        <w:spacing w:before="120" w:after="0"/>
        <w:ind w:left="0" w:right="0" w:hanging="0"/>
        <w:jc w:val="left"/>
        <w:rPr>
          <w:rFonts w:ascii="Times New Roman;serif" w:hAnsi="Times New Roman;serif"/>
          <w:b w:val="false"/>
          <w:sz w:val="20"/>
        </w:rPr>
      </w:pPr>
      <w:r>
        <w:rPr>
          <w:rFonts w:ascii="Times New Roman;serif" w:hAnsi="Times New Roman;serif"/>
          <w:b w:val="false"/>
          <w:sz w:val="20"/>
        </w:rPr>
        <w:t>I, Erin Colgan, certify that:</w:t>
      </w:r>
    </w:p>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Annual Report on Form 10-K/A for the year ended December 31, 2022 of Sensei Biotherapeutics, Inc. (the “registrant”);</w:t>
      </w:r>
    </w:p>
    <w:p>
      <w:pPr>
        <w:pStyle w:val="TextBody"/>
        <w:spacing w:before="120" w:after="0"/>
        <w:ind w:left="0" w:right="0" w:hanging="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0" w:right="0" w:hanging="490"/>
        <w:jc w:val="left"/>
        <w:rPr/>
      </w:pPr>
      <w:r>
        <w:rPr/>
        <w:t> </w:t>
      </w:r>
    </w:p>
    <w:tbl>
      <w:tblPr>
        <w:tblW w:w="4612" w:type="dxa"/>
        <w:jc w:val="left"/>
        <w:tblInd w:w="0" w:type="dxa"/>
        <w:tblCellMar>
          <w:top w:w="28" w:type="dxa"/>
          <w:left w:w="28" w:type="dxa"/>
          <w:bottom w:w="28" w:type="dxa"/>
          <w:right w:w="28" w:type="dxa"/>
        </w:tblCellMar>
      </w:tblPr>
      <w:tblGrid>
        <w:gridCol w:w="1636"/>
        <w:gridCol w:w="109"/>
        <w:gridCol w:w="406"/>
        <w:gridCol w:w="246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Erin Colgan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(Principal Financial Officer)</w:t>
            </w:r>
            <w:r>
              <w:rPr>
                <w:rFonts w:ascii="Times New Roman" w:hAnsi="Times New Roman"/>
                <w:sz w:val="20"/>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02/000119312521037280/d95909dex31.htm" TargetMode="External"/><Relationship Id="rId3" Type="http://schemas.openxmlformats.org/officeDocument/2006/relationships/hyperlink" Target="https://www.sec.gov/Archives/edgar/data/1829802/000119312522301836/d514100dex31.htm" TargetMode="External"/><Relationship Id="rId4" Type="http://schemas.openxmlformats.org/officeDocument/2006/relationships/hyperlink" Target="https://www.sec.gov/Archives/edgar/data/1829802/000119312523063093/d470819dex31.htm" TargetMode="External"/><Relationship Id="rId5" Type="http://schemas.openxmlformats.org/officeDocument/2006/relationships/hyperlink" Target="https://www.sec.gov/Archives/edgar/data/1829802/000119312521023615/d43789dex41.htm" TargetMode="External"/><Relationship Id="rId6" Type="http://schemas.openxmlformats.org/officeDocument/2006/relationships/hyperlink" Target="https://www.sec.gov/Archives/edgar/data/1829802/000119312521023615/d43789dex42.htm" TargetMode="External"/><Relationship Id="rId7" Type="http://schemas.openxmlformats.org/officeDocument/2006/relationships/hyperlink" Target="https://www.sec.gov/Archives/edgar/data/1829802/000119312521023615/d43789dex43.htm" TargetMode="External"/><Relationship Id="rId8" Type="http://schemas.openxmlformats.org/officeDocument/2006/relationships/hyperlink" Target="https://www.sec.gov/Archives/edgar/data/1829802/000119312521023615/d43789dex44.htm" TargetMode="External"/><Relationship Id="rId9" Type="http://schemas.openxmlformats.org/officeDocument/2006/relationships/hyperlink" Target="https://www.sec.gov/Archives/edgar/data/1829802/000095017023010432/snse-ex4_3.htm" TargetMode="External"/><Relationship Id="rId10" Type="http://schemas.openxmlformats.org/officeDocument/2006/relationships/hyperlink" Target="https://www.sec.gov/Archives/edgar/data/1829802/000119312523063093/d470819dex41.htm" TargetMode="External"/><Relationship Id="rId11" Type="http://schemas.openxmlformats.org/officeDocument/2006/relationships/hyperlink" Target="https://www.sec.gov/Archives/edgar/data/0001829802/000119312521010054/d43789dex101.htm" TargetMode="External"/><Relationship Id="rId12" Type="http://schemas.openxmlformats.org/officeDocument/2006/relationships/hyperlink" Target="https://www.sec.gov/Archives/edgar/data/0001829802/000119312521023615/d43789dex102.htm" TargetMode="External"/><Relationship Id="rId13" Type="http://schemas.openxmlformats.org/officeDocument/2006/relationships/hyperlink" Target="https://www.sec.gov/Archives/edgar/data/0001829802/000119312521010054/d43789dex104.htm" TargetMode="External"/><Relationship Id="rId14" Type="http://schemas.openxmlformats.org/officeDocument/2006/relationships/hyperlink" Target="https://www.sec.gov/Archives/edgar/data/0001829802/000119312521010054/d43789dex109.htm" TargetMode="External"/><Relationship Id="rId15" Type="http://schemas.openxmlformats.org/officeDocument/2006/relationships/hyperlink" Target="https://www.sec.gov/Archives/edgar/data/0001829802/000119312521023615/d43789dex1010.htm" TargetMode="External"/><Relationship Id="rId16" Type="http://schemas.openxmlformats.org/officeDocument/2006/relationships/hyperlink" Target="https://www.sec.gov/Archives/edgar/data/0001829802/000119312521023615/d43789dex1012.htm" TargetMode="External"/><Relationship Id="rId17" Type="http://schemas.openxmlformats.org/officeDocument/2006/relationships/hyperlink" Target="https://www.sec.gov/Archives/edgar/data/1829802/000095017022003646/snse-ex10_14.htm" TargetMode="External"/><Relationship Id="rId18" Type="http://schemas.openxmlformats.org/officeDocument/2006/relationships/hyperlink" Target="https://www.sec.gov/Archives/edgar/data/1829802/000095017022003646/snse-ex10_16.htm" TargetMode="External"/><Relationship Id="rId19" Type="http://schemas.openxmlformats.org/officeDocument/2006/relationships/hyperlink" Target="https://www.sec.gov/Archives/edgar/data/1829802/000095017022016148/snse-ex10_1.htm" TargetMode="External"/><Relationship Id="rId20" Type="http://schemas.openxmlformats.org/officeDocument/2006/relationships/hyperlink" Target="https://www.sec.gov/Archives/edgar/data/1829802/000095017023010432/snse-ex10_11.htm" TargetMode="External"/><Relationship Id="rId21" Type="http://schemas.openxmlformats.org/officeDocument/2006/relationships/hyperlink" Target="https://www.sec.gov/Archives/edgar/data/1829802/000095017023010432/snse-ex10_12.htm" TargetMode="External"/><Relationship Id="rId22" Type="http://schemas.openxmlformats.org/officeDocument/2006/relationships/hyperlink" Target="https://www.sec.gov/Archives/edgar/data/1829802/000095017023010432/snse-ex10_13.htm" TargetMode="External"/><Relationship Id="rId23" Type="http://schemas.openxmlformats.org/officeDocument/2006/relationships/hyperlink" Target="https://www.sec.gov/Archives/edgar/data/1829802/000119312522076072/d296045dex12.htm" TargetMode="External"/><Relationship Id="rId24" Type="http://schemas.openxmlformats.org/officeDocument/2006/relationships/hyperlink" Target="https://www.sec.gov/Archives/edgar/data/1829802/000119312522076072/d296045dex12.htm" TargetMode="External"/><Relationship Id="rId25" Type="http://schemas.openxmlformats.org/officeDocument/2006/relationships/hyperlink" Target="https://www.sec.gov/Archives/edgar/data/1829802/000119312522076072/d296045dex12.htm" TargetMode="External"/><Relationship Id="rId26" Type="http://schemas.openxmlformats.org/officeDocument/2006/relationships/hyperlink" Target="https://www.sec.gov/Archives/edgar/data/1829802/000095017022003646/snse-ex21_1.htm" TargetMode="External"/><Relationship Id="rId27" Type="http://schemas.openxmlformats.org/officeDocument/2006/relationships/hyperlink" Target="https://www.sec.gov/Archives/edgar/data/1829802/000095017023010432/snse-ex23_1.htm" TargetMode="External"/><Relationship Id="rId28" Type="http://schemas.openxmlformats.org/officeDocument/2006/relationships/hyperlink" Target="https://www.sec.gov/Archives/edgar/data/1829802/000095017023010432/snse-ex32_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13729</Words>
  <CharactersWithSpaces>87544</CharactersWithSpaces>
  <Paragraphs>2106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