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February 29,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ind w:left="9280"/>
        <w:spacing w:after="0"/>
        <w:rPr>
          <w:sz w:val="20"/>
          <w:szCs w:val="20"/>
          <w:color w:val="auto"/>
        </w:rPr>
      </w:pPr>
      <w:r>
        <w:rPr>
          <w:rFonts w:ascii="Times New Roman" w:cs="Times New Roman" w:eastAsia="Times New Roman" w:hAnsi="Times New Roman"/>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7"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19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7"/>
          <w:szCs w:val="27"/>
          <w:b w:val="1"/>
          <w:bCs w:val="1"/>
          <w:color w:val="auto"/>
        </w:rPr>
        <w:t>FORM S-8</w:t>
      </w:r>
    </w:p>
    <w:p>
      <w:pPr>
        <w:spacing w:after="0" w:line="3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7"/>
          <w:szCs w:val="27"/>
          <w:b w:val="1"/>
          <w:bCs w:val="1"/>
          <w:color w:val="auto"/>
        </w:rPr>
        <w:t>REGISTRATION STATEMENT</w:t>
      </w: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UNDER</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THE SECURITIES ACT OF 1933</w:t>
      </w:r>
    </w:p>
    <w:p>
      <w:pPr>
        <w:spacing w:after="0" w:line="9"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17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SENSEI BIOTHERAPEUTICS, INC.</w:t>
      </w:r>
    </w:p>
    <w:p>
      <w:pPr>
        <w:spacing w:after="0" w:line="4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ind w:left="39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08" w:lineRule="exact"/>
        <w:rPr>
          <w:sz w:val="24"/>
          <w:szCs w:val="24"/>
          <w:color w:val="auto"/>
        </w:rPr>
      </w:pPr>
    </w:p>
    <w:tbl>
      <w:tblPr>
        <w:tblLayout w:type="fixed"/>
        <w:tblInd w:w="1560" w:type="dxa"/>
        <w:tblCellMar>
          <w:top w:w="0" w:type="dxa"/>
          <w:left w:w="0" w:type="dxa"/>
          <w:bottom w:w="0" w:type="dxa"/>
          <w:right w:w="0" w:type="dxa"/>
        </w:tblCellMar>
      </w:tblPr>
      <w:tr>
        <w:trPr>
          <w:trHeight w:val="212"/>
        </w:trPr>
        <w:tc>
          <w:tcPr>
            <w:tcW w:w="4380" w:type="dxa"/>
            <w:vAlign w:val="bottom"/>
          </w:tcPr>
          <w:p>
            <w:pPr>
              <w:jc w:val="center"/>
              <w:ind w:right="231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6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83-1863385</w:t>
            </w:r>
          </w:p>
        </w:tc>
      </w:tr>
      <w:tr>
        <w:trPr>
          <w:trHeight w:val="222"/>
        </w:trPr>
        <w:tc>
          <w:tcPr>
            <w:tcW w:w="4380" w:type="dxa"/>
            <w:vAlign w:val="bottom"/>
          </w:tcPr>
          <w:p>
            <w:pPr>
              <w:jc w:val="center"/>
              <w:ind w:right="233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3640" w:type="dxa"/>
            <w:vAlign w:val="bottom"/>
          </w:tcPr>
          <w:p>
            <w:pPr>
              <w:ind w:left="2460"/>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380" w:type="dxa"/>
            <w:vAlign w:val="bottom"/>
          </w:tcPr>
          <w:p>
            <w:pPr>
              <w:jc w:val="center"/>
              <w:ind w:right="233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640" w:type="dxa"/>
            <w:vAlign w:val="bottom"/>
          </w:tcPr>
          <w:p>
            <w:pPr>
              <w:jc w:val="center"/>
              <w:ind w:left="2339"/>
              <w:spacing w:after="0"/>
              <w:rPr>
                <w:sz w:val="20"/>
                <w:szCs w:val="20"/>
                <w:color w:val="auto"/>
              </w:rPr>
            </w:pPr>
            <w:r>
              <w:rPr>
                <w:rFonts w:ascii="Times New Roman" w:cs="Times New Roman" w:eastAsia="Times New Roman" w:hAnsi="Times New Roman"/>
                <w:sz w:val="16"/>
                <w:szCs w:val="16"/>
                <w:color w:val="auto"/>
              </w:rPr>
              <w:t>Identification No.)</w:t>
            </w:r>
          </w:p>
        </w:tc>
      </w:tr>
    </w:tbl>
    <w:p>
      <w:pPr>
        <w:spacing w:after="0" w:line="21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1405 Research Blvd, Suite 125</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Rockville, MD 20850</w:t>
      </w:r>
    </w:p>
    <w:p>
      <w:pPr>
        <w:jc w:val="center"/>
        <w:ind w:right="-179"/>
        <w:spacing w:after="0" w:line="237" w:lineRule="auto"/>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ind w:left="39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0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31"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2021 Employee Stock Purchase Plan</w:t>
      </w:r>
    </w:p>
    <w:p>
      <w:pPr>
        <w:jc w:val="center"/>
        <w:ind w:right="-179"/>
        <w:spacing w:after="0" w:line="237" w:lineRule="auto"/>
        <w:rPr>
          <w:sz w:val="20"/>
          <w:szCs w:val="20"/>
          <w:color w:val="auto"/>
        </w:rPr>
      </w:pPr>
      <w:r>
        <w:rPr>
          <w:rFonts w:ascii="Times New Roman" w:cs="Times New Roman" w:eastAsia="Times New Roman" w:hAnsi="Times New Roman"/>
          <w:sz w:val="14"/>
          <w:szCs w:val="14"/>
          <w:b w:val="1"/>
          <w:bCs w:val="1"/>
          <w:color w:val="auto"/>
        </w:rPr>
        <w:t>(Full title of the plan)</w:t>
      </w:r>
    </w:p>
    <w:p>
      <w:pPr>
        <w:ind w:left="39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0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John Celebi</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Sensei Biotherapeutics, Inc.</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1405 Research Blvd, Suite 125,</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Rockville, MD 20850</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(240) 243-8000</w:t>
      </w:r>
    </w:p>
    <w:p>
      <w:pPr>
        <w:spacing w:after="0" w:line="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 (Telephone number, including area code, of agent for service)</w:t>
      </w:r>
    </w:p>
    <w:p>
      <w:pPr>
        <w:spacing w:after="0" w:line="188" w:lineRule="exact"/>
        <w:rPr>
          <w:sz w:val="24"/>
          <w:szCs w:val="24"/>
          <w:color w:val="auto"/>
        </w:rPr>
      </w:pPr>
    </w:p>
    <w:tbl>
      <w:tblPr>
        <w:tblLayout w:type="fixed"/>
        <w:tblInd w:w="1620" w:type="dxa"/>
        <w:tblCellMar>
          <w:top w:w="0" w:type="dxa"/>
          <w:left w:w="0" w:type="dxa"/>
          <w:bottom w:w="0" w:type="dxa"/>
          <w:right w:w="0" w:type="dxa"/>
        </w:tblCellMar>
      </w:tblPr>
      <w:tr>
        <w:trPr>
          <w:trHeight w:val="227"/>
        </w:trPr>
        <w:tc>
          <w:tcPr>
            <w:tcW w:w="1880" w:type="dxa"/>
            <w:vAlign w:val="bottom"/>
          </w:tcPr>
          <w:p>
            <w:pPr>
              <w:spacing w:after="0"/>
              <w:rPr>
                <w:sz w:val="19"/>
                <w:szCs w:val="19"/>
                <w:color w:val="auto"/>
              </w:rPr>
            </w:pPr>
          </w:p>
        </w:tc>
        <w:tc>
          <w:tcPr>
            <w:tcW w:w="6380" w:type="dxa"/>
            <w:vAlign w:val="bottom"/>
          </w:tcPr>
          <w:p>
            <w:pPr>
              <w:jc w:val="right"/>
              <w:ind w:right="3824"/>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148"/>
        </w:trPr>
        <w:tc>
          <w:tcPr>
            <w:tcW w:w="1880" w:type="dxa"/>
            <w:vAlign w:val="bottom"/>
          </w:tcPr>
          <w:p>
            <w:pPr>
              <w:jc w:val="center"/>
              <w:ind w:right="388"/>
              <w:spacing w:after="0" w:line="149" w:lineRule="exact"/>
              <w:rPr>
                <w:sz w:val="20"/>
                <w:szCs w:val="20"/>
                <w:color w:val="auto"/>
              </w:rPr>
            </w:pPr>
            <w:r>
              <w:rPr>
                <w:rFonts w:ascii="Times New Roman" w:cs="Times New Roman" w:eastAsia="Times New Roman" w:hAnsi="Times New Roman"/>
                <w:sz w:val="14"/>
                <w:szCs w:val="14"/>
                <w:b w:val="1"/>
                <w:bCs w:val="1"/>
                <w:color w:val="auto"/>
              </w:rPr>
              <w:t>Mark Ballantyne</w:t>
            </w:r>
          </w:p>
        </w:tc>
        <w:tc>
          <w:tcPr>
            <w:tcW w:w="6380" w:type="dxa"/>
            <w:vAlign w:val="bottom"/>
          </w:tcPr>
          <w:p>
            <w:pPr>
              <w:jc w:val="center"/>
              <w:ind w:left="4384"/>
              <w:spacing w:after="0" w:line="149" w:lineRule="exact"/>
              <w:rPr>
                <w:sz w:val="20"/>
                <w:szCs w:val="20"/>
                <w:color w:val="auto"/>
              </w:rPr>
            </w:pPr>
            <w:r>
              <w:rPr>
                <w:rFonts w:ascii="Times New Roman" w:cs="Times New Roman" w:eastAsia="Times New Roman" w:hAnsi="Times New Roman"/>
                <w:sz w:val="14"/>
                <w:szCs w:val="14"/>
                <w:b w:val="1"/>
                <w:bCs w:val="1"/>
                <w:color w:val="auto"/>
              </w:rPr>
              <w:t>Christopher W. Gerry</w:t>
            </w:r>
          </w:p>
        </w:tc>
      </w:tr>
      <w:tr>
        <w:trPr>
          <w:trHeight w:val="148"/>
        </w:trPr>
        <w:tc>
          <w:tcPr>
            <w:tcW w:w="1880" w:type="dxa"/>
            <w:vAlign w:val="bottom"/>
          </w:tcPr>
          <w:p>
            <w:pPr>
              <w:jc w:val="center"/>
              <w:ind w:right="388"/>
              <w:spacing w:after="0" w:line="149" w:lineRule="exact"/>
              <w:rPr>
                <w:sz w:val="20"/>
                <w:szCs w:val="20"/>
                <w:color w:val="auto"/>
              </w:rPr>
            </w:pPr>
            <w:r>
              <w:rPr>
                <w:rFonts w:ascii="Times New Roman" w:cs="Times New Roman" w:eastAsia="Times New Roman" w:hAnsi="Times New Roman"/>
                <w:sz w:val="14"/>
                <w:szCs w:val="14"/>
                <w:b w:val="1"/>
                <w:bCs w:val="1"/>
                <w:color w:val="auto"/>
              </w:rPr>
              <w:t>Michael E. Tenta</w:t>
            </w:r>
          </w:p>
        </w:tc>
        <w:tc>
          <w:tcPr>
            <w:tcW w:w="6380" w:type="dxa"/>
            <w:vAlign w:val="bottom"/>
          </w:tcPr>
          <w:p>
            <w:pPr>
              <w:jc w:val="center"/>
              <w:ind w:left="4384"/>
              <w:spacing w:after="0" w:line="149" w:lineRule="exact"/>
              <w:rPr>
                <w:sz w:val="20"/>
                <w:szCs w:val="20"/>
                <w:color w:val="auto"/>
              </w:rPr>
            </w:pPr>
            <w:r>
              <w:rPr>
                <w:rFonts w:ascii="Times New Roman" w:cs="Times New Roman" w:eastAsia="Times New Roman" w:hAnsi="Times New Roman"/>
                <w:sz w:val="14"/>
                <w:szCs w:val="14"/>
                <w:b w:val="1"/>
                <w:bCs w:val="1"/>
                <w:color w:val="auto"/>
              </w:rPr>
              <w:t>General Counsel and Secretary</w:t>
            </w:r>
          </w:p>
        </w:tc>
      </w:tr>
      <w:tr>
        <w:trPr>
          <w:trHeight w:val="149"/>
        </w:trPr>
        <w:tc>
          <w:tcPr>
            <w:tcW w:w="1880" w:type="dxa"/>
            <w:vAlign w:val="bottom"/>
          </w:tcPr>
          <w:p>
            <w:pPr>
              <w:jc w:val="center"/>
              <w:ind w:right="388"/>
              <w:spacing w:after="0" w:line="149" w:lineRule="exact"/>
              <w:rPr>
                <w:sz w:val="20"/>
                <w:szCs w:val="20"/>
                <w:color w:val="auto"/>
              </w:rPr>
            </w:pPr>
            <w:r>
              <w:rPr>
                <w:rFonts w:ascii="Times New Roman" w:cs="Times New Roman" w:eastAsia="Times New Roman" w:hAnsi="Times New Roman"/>
                <w:sz w:val="14"/>
                <w:szCs w:val="14"/>
                <w:b w:val="1"/>
                <w:bCs w:val="1"/>
                <w:color w:val="auto"/>
              </w:rPr>
              <w:t>Cooley LLP</w:t>
            </w:r>
          </w:p>
        </w:tc>
        <w:tc>
          <w:tcPr>
            <w:tcW w:w="6380" w:type="dxa"/>
            <w:vAlign w:val="bottom"/>
          </w:tcPr>
          <w:p>
            <w:pPr>
              <w:jc w:val="center"/>
              <w:ind w:left="4384"/>
              <w:spacing w:after="0" w:line="149" w:lineRule="exact"/>
              <w:rPr>
                <w:sz w:val="20"/>
                <w:szCs w:val="20"/>
                <w:color w:val="auto"/>
              </w:rPr>
            </w:pPr>
            <w:r>
              <w:rPr>
                <w:rFonts w:ascii="Times New Roman" w:cs="Times New Roman" w:eastAsia="Times New Roman" w:hAnsi="Times New Roman"/>
                <w:sz w:val="14"/>
                <w:szCs w:val="14"/>
                <w:b w:val="1"/>
                <w:bCs w:val="1"/>
                <w:color w:val="auto"/>
              </w:rPr>
              <w:t>Sensei Biotherapeutics, Inc.</w:t>
            </w:r>
          </w:p>
        </w:tc>
      </w:tr>
      <w:tr>
        <w:trPr>
          <w:trHeight w:val="148"/>
        </w:trPr>
        <w:tc>
          <w:tcPr>
            <w:tcW w:w="1880" w:type="dxa"/>
            <w:vAlign w:val="bottom"/>
          </w:tcPr>
          <w:p>
            <w:pPr>
              <w:jc w:val="center"/>
              <w:ind w:right="388"/>
              <w:spacing w:after="0" w:line="149" w:lineRule="exact"/>
              <w:rPr>
                <w:sz w:val="20"/>
                <w:szCs w:val="20"/>
                <w:color w:val="auto"/>
              </w:rPr>
            </w:pPr>
            <w:r>
              <w:rPr>
                <w:rFonts w:ascii="Times New Roman" w:cs="Times New Roman" w:eastAsia="Times New Roman" w:hAnsi="Times New Roman"/>
                <w:sz w:val="14"/>
                <w:szCs w:val="14"/>
                <w:b w:val="1"/>
                <w:bCs w:val="1"/>
                <w:color w:val="auto"/>
              </w:rPr>
              <w:t>11951 Freedom Drive</w:t>
            </w:r>
          </w:p>
        </w:tc>
        <w:tc>
          <w:tcPr>
            <w:tcW w:w="6380" w:type="dxa"/>
            <w:vAlign w:val="bottom"/>
          </w:tcPr>
          <w:p>
            <w:pPr>
              <w:jc w:val="center"/>
              <w:ind w:left="4384"/>
              <w:spacing w:after="0" w:line="149" w:lineRule="exact"/>
              <w:rPr>
                <w:sz w:val="20"/>
                <w:szCs w:val="20"/>
                <w:color w:val="auto"/>
              </w:rPr>
            </w:pPr>
            <w:r>
              <w:rPr>
                <w:rFonts w:ascii="Times New Roman" w:cs="Times New Roman" w:eastAsia="Times New Roman" w:hAnsi="Times New Roman"/>
                <w:sz w:val="14"/>
                <w:szCs w:val="14"/>
                <w:b w:val="1"/>
                <w:bCs w:val="1"/>
                <w:color w:val="auto"/>
              </w:rPr>
              <w:t>1405 Research Blvd, Suite 125</w:t>
            </w:r>
          </w:p>
        </w:tc>
      </w:tr>
      <w:tr>
        <w:trPr>
          <w:trHeight w:val="149"/>
        </w:trPr>
        <w:tc>
          <w:tcPr>
            <w:tcW w:w="1880" w:type="dxa"/>
            <w:vAlign w:val="bottom"/>
          </w:tcPr>
          <w:p>
            <w:pPr>
              <w:jc w:val="center"/>
              <w:ind w:right="388"/>
              <w:spacing w:after="0" w:line="149" w:lineRule="exact"/>
              <w:rPr>
                <w:sz w:val="20"/>
                <w:szCs w:val="20"/>
                <w:color w:val="auto"/>
              </w:rPr>
            </w:pPr>
            <w:r>
              <w:rPr>
                <w:rFonts w:ascii="Times New Roman" w:cs="Times New Roman" w:eastAsia="Times New Roman" w:hAnsi="Times New Roman"/>
                <w:sz w:val="14"/>
                <w:szCs w:val="14"/>
                <w:b w:val="1"/>
                <w:bCs w:val="1"/>
                <w:color w:val="auto"/>
              </w:rPr>
              <w:t>Reston, VA 20190-5640</w:t>
            </w:r>
          </w:p>
        </w:tc>
        <w:tc>
          <w:tcPr>
            <w:tcW w:w="6380" w:type="dxa"/>
            <w:vAlign w:val="bottom"/>
          </w:tcPr>
          <w:p>
            <w:pPr>
              <w:jc w:val="center"/>
              <w:ind w:left="4424"/>
              <w:spacing w:after="0" w:line="149" w:lineRule="exact"/>
              <w:rPr>
                <w:sz w:val="20"/>
                <w:szCs w:val="20"/>
                <w:color w:val="auto"/>
              </w:rPr>
            </w:pPr>
            <w:r>
              <w:rPr>
                <w:rFonts w:ascii="Times New Roman" w:cs="Times New Roman" w:eastAsia="Times New Roman" w:hAnsi="Times New Roman"/>
                <w:sz w:val="14"/>
                <w:szCs w:val="14"/>
                <w:b w:val="1"/>
                <w:bCs w:val="1"/>
                <w:color w:val="auto"/>
              </w:rPr>
              <w:t>Rockville, MD 20850</w:t>
            </w:r>
          </w:p>
        </w:tc>
      </w:tr>
      <w:tr>
        <w:trPr>
          <w:trHeight w:val="168"/>
        </w:trPr>
        <w:tc>
          <w:tcPr>
            <w:tcW w:w="1880" w:type="dxa"/>
            <w:vAlign w:val="bottom"/>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(703) 456-8000</w:t>
            </w:r>
          </w:p>
        </w:tc>
        <w:tc>
          <w:tcPr>
            <w:tcW w:w="6380" w:type="dxa"/>
            <w:vAlign w:val="bottom"/>
          </w:tcPr>
          <w:p>
            <w:pPr>
              <w:jc w:val="center"/>
              <w:ind w:left="4364"/>
              <w:spacing w:after="0"/>
              <w:rPr>
                <w:sz w:val="20"/>
                <w:szCs w:val="20"/>
                <w:color w:val="auto"/>
              </w:rPr>
            </w:pPr>
            <w:r>
              <w:rPr>
                <w:rFonts w:ascii="Times New Roman" w:cs="Times New Roman" w:eastAsia="Times New Roman" w:hAnsi="Times New Roman"/>
                <w:sz w:val="14"/>
                <w:szCs w:val="14"/>
                <w:b w:val="1"/>
                <w:bCs w:val="1"/>
                <w:color w:val="auto"/>
              </w:rPr>
              <w:t>(240) 243-8000</w:t>
            </w:r>
          </w:p>
        </w:tc>
      </w:tr>
      <w:tr>
        <w:trPr>
          <w:trHeight w:val="234"/>
        </w:trPr>
        <w:tc>
          <w:tcPr>
            <w:tcW w:w="1880" w:type="dxa"/>
            <w:vAlign w:val="bottom"/>
          </w:tcPr>
          <w:p>
            <w:pPr>
              <w:spacing w:after="0"/>
              <w:rPr>
                <w:sz w:val="20"/>
                <w:szCs w:val="20"/>
                <w:color w:val="auto"/>
              </w:rPr>
            </w:pPr>
          </w:p>
        </w:tc>
        <w:tc>
          <w:tcPr>
            <w:tcW w:w="6380" w:type="dxa"/>
            <w:vAlign w:val="bottom"/>
          </w:tcPr>
          <w:p>
            <w:pPr>
              <w:jc w:val="right"/>
              <w:ind w:right="2524"/>
              <w:spacing w:after="0"/>
              <w:rPr>
                <w:sz w:val="20"/>
                <w:szCs w:val="20"/>
                <w:color w:val="auto"/>
              </w:rPr>
            </w:pPr>
            <w:r>
              <w:rPr>
                <w:rFonts w:ascii="Times New Roman" w:cs="Times New Roman" w:eastAsia="Times New Roman" w:hAnsi="Times New Roman"/>
                <w:sz w:val="18"/>
                <w:szCs w:val="18"/>
                <w:color w:val="auto"/>
              </w:rPr>
              <w:t>_____________________________________</w:t>
            </w:r>
          </w:p>
        </w:tc>
      </w:tr>
    </w:tbl>
    <w:p>
      <w:pPr>
        <w:spacing w:after="0" w:line="130" w:lineRule="exact"/>
        <w:rPr>
          <w:sz w:val="24"/>
          <w:szCs w:val="24"/>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80"/>
          </w:cols>
          <w:pgMar w:left="320" w:top="1103" w:right="499" w:bottom="1440" w:gutter="0" w:footer="0" w:header="0"/>
        </w:sectPr>
      </w:pPr>
    </w:p>
    <w:p>
      <w:pPr>
        <w:spacing w:after="0" w:line="1" w:lineRule="exact"/>
        <w:rPr>
          <w:sz w:val="24"/>
          <w:szCs w:val="24"/>
          <w:color w:val="auto"/>
        </w:rPr>
      </w:pPr>
    </w:p>
    <w:p>
      <w:pPr>
        <w:ind w:left="12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62"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48" w:lineRule="exact"/>
        <w:rPr>
          <w:sz w:val="24"/>
          <w:szCs w:val="24"/>
          <w:color w:val="auto"/>
        </w:rPr>
      </w:pPr>
    </w:p>
    <w:p>
      <w:pPr>
        <w:sectPr>
          <w:pgSz w:w="11900" w:h="16838" w:orient="portrait"/>
          <w:cols w:equalWidth="0" w:num="2">
            <w:col w:w="6340" w:space="720"/>
            <w:col w:w="4020"/>
          </w:cols>
          <w:pgMar w:left="320" w:top="1103" w:right="499" w:bottom="1440" w:gutter="0" w:footer="0" w:header="0"/>
          <w:type w:val="continuous"/>
        </w:sectPr>
      </w:pPr>
    </w:p>
    <w:p>
      <w:pPr>
        <w:spacing w:after="0" w:line="22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03" w:right="499" w:bottom="1440" w:gutter="0" w:footer="0" w:header="0"/>
          <w:type w:val="continuous"/>
        </w:sectPr>
      </w:pPr>
    </w:p>
    <w:bookmarkStart w:id="1" w:name="page2"/>
    <w:bookmarkEnd w:id="1"/>
    <w:p>
      <w:pPr>
        <w:ind w:left="4920"/>
        <w:spacing w:after="0"/>
        <w:rPr>
          <w:sz w:val="20"/>
          <w:szCs w:val="20"/>
          <w:color w:val="auto"/>
        </w:rPr>
      </w:pPr>
      <w:r>
        <w:rPr>
          <w:rFonts w:ascii="Times New Roman" w:cs="Times New Roman" w:eastAsia="Times New Roman" w:hAnsi="Times New Roman"/>
          <w:sz w:val="16"/>
          <w:szCs w:val="16"/>
          <w:color w:val="auto"/>
        </w:rPr>
        <w:t>EXPLANATORY</w:t>
      </w:r>
    </w:p>
    <w:p>
      <w:pPr>
        <w:spacing w:after="0" w:line="2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NOTE</w:t>
      </w:r>
    </w:p>
    <w:p>
      <w:pPr>
        <w:spacing w:after="0" w:line="267" w:lineRule="exact"/>
        <w:rPr>
          <w:sz w:val="20"/>
          <w:szCs w:val="20"/>
          <w:color w:val="auto"/>
        </w:rPr>
      </w:pPr>
    </w:p>
    <w:p>
      <w:pPr>
        <w:ind w:right="60" w:firstLine="464"/>
        <w:spacing w:after="0" w:line="267" w:lineRule="auto"/>
        <w:rPr>
          <w:sz w:val="20"/>
          <w:szCs w:val="20"/>
          <w:color w:val="auto"/>
        </w:rPr>
      </w:pPr>
      <w:r>
        <w:rPr>
          <w:rFonts w:ascii="Times New Roman" w:cs="Times New Roman" w:eastAsia="Times New Roman" w:hAnsi="Times New Roman"/>
          <w:sz w:val="16"/>
          <w:szCs w:val="16"/>
          <w:color w:val="auto"/>
        </w:rPr>
        <w:t>This Registration Statement on Form S-8 is being filed for the purpose of registering an additional (i) 500,603 shares of Common Stock of Sensei Biotherapeutics, Inc. to be issued pursuant to the 2021 Equity Incentive Plan (“2021 EIP”) and (ii) 250,301 shares of Common Stock of Sensei Biotherapeutics, Inc. to be issued pursuant to the 2021 Employee Stock Purchase Plan (the “2021 ESPP”), pursuant to the provisions of the 2021 EIP</w:t>
      </w:r>
    </w:p>
    <w:p>
      <w:pPr>
        <w:spacing w:after="0" w:line="1" w:lineRule="exact"/>
        <w:rPr>
          <w:sz w:val="20"/>
          <w:szCs w:val="20"/>
          <w:color w:val="auto"/>
        </w:rPr>
      </w:pPr>
    </w:p>
    <w:p>
      <w:pPr>
        <w:ind w:right="980"/>
        <w:spacing w:after="0" w:line="285" w:lineRule="auto"/>
        <w:rPr>
          <w:sz w:val="20"/>
          <w:szCs w:val="20"/>
          <w:color w:val="auto"/>
        </w:rPr>
      </w:pPr>
      <w:r>
        <w:rPr>
          <w:rFonts w:ascii="Times New Roman" w:cs="Times New Roman" w:eastAsia="Times New Roman" w:hAnsi="Times New Roman"/>
          <w:sz w:val="16"/>
          <w:szCs w:val="16"/>
          <w:color w:val="auto"/>
        </w:rPr>
        <w:t>and 2021 ESPP providing for automatic increases in the number of shares of Common Stock reserved and available for issuance under the 2021 EIP and 2021 ESPP on January 1, 2024. In accordance with the instructional note to Part I of Form S-8 as promulgated by the Securities and Exchange Commission, the information specified by Part I of the Form S-8 has been omitted from this Registration Statement.</w:t>
      </w:r>
    </w:p>
    <w:p>
      <w:pPr>
        <w:spacing w:after="0" w:line="17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color w:val="auto"/>
        </w:rPr>
        <w:t>PART</w:t>
      </w:r>
    </w:p>
    <w:p>
      <w:pPr>
        <w:spacing w:after="0" w:line="26"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16"/>
          <w:szCs w:val="16"/>
          <w:color w:val="auto"/>
        </w:rPr>
        <w:t>II ITEM 3.</w:t>
        <w:tab/>
        <w:t>INCORPORATION OF DOCUMENTS BY REFERENCE</w:t>
      </w:r>
    </w:p>
    <w:p>
      <w:pPr>
        <w:spacing w:after="0" w:line="146" w:lineRule="exact"/>
        <w:rPr>
          <w:sz w:val="20"/>
          <w:szCs w:val="20"/>
          <w:color w:val="auto"/>
        </w:rPr>
      </w:pPr>
    </w:p>
    <w:p>
      <w:pPr>
        <w:ind w:firstLine="464"/>
        <w:spacing w:after="0" w:line="295" w:lineRule="auto"/>
        <w:rPr>
          <w:sz w:val="20"/>
          <w:szCs w:val="20"/>
          <w:color w:val="auto"/>
        </w:rPr>
      </w:pPr>
      <w:r>
        <w:rPr>
          <w:rFonts w:ascii="Times New Roman" w:cs="Times New Roman" w:eastAsia="Times New Roman" w:hAnsi="Times New Roman"/>
          <w:sz w:val="16"/>
          <w:szCs w:val="16"/>
          <w:color w:val="auto"/>
        </w:rPr>
        <w:t>The contents of the earlier registration statement relating to (i) the 2018 Stock Incentive Plan, (ii) the 2021 EIP and (iii) the 2021 ESPP, previously filed with the Securities and Exchange Commission on February 10, 2021 (</w:t>
      </w:r>
      <w:r>
        <w:rPr>
          <w:rFonts w:ascii="Times New Roman" w:cs="Times New Roman" w:eastAsia="Times New Roman" w:hAnsi="Times New Roman"/>
          <w:sz w:val="16"/>
          <w:szCs w:val="16"/>
          <w:u w:val="single" w:color="auto"/>
          <w:color w:val="0000ED"/>
        </w:rPr>
        <w:t>File No. 333-252954</w:t>
      </w:r>
      <w:r>
        <w:rPr>
          <w:rFonts w:ascii="Times New Roman" w:cs="Times New Roman" w:eastAsia="Times New Roman" w:hAnsi="Times New Roman"/>
          <w:sz w:val="16"/>
          <w:szCs w:val="16"/>
          <w:color w:val="auto"/>
        </w:rPr>
        <w:t>) are incorporated herein by reference and made a part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848995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440" w:top="1071" w:right="5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2"/>
        </w:trPr>
        <w:tc>
          <w:tcPr>
            <w:tcW w:w="9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ITEM 8.</w:t>
            </w:r>
          </w:p>
        </w:tc>
        <w:tc>
          <w:tcPr>
            <w:tcW w:w="6280" w:type="dxa"/>
            <w:vAlign w:val="bottom"/>
            <w:gridSpan w:val="18"/>
          </w:tcPr>
          <w:p>
            <w:pPr>
              <w:spacing w:after="0"/>
              <w:rPr>
                <w:sz w:val="20"/>
                <w:szCs w:val="20"/>
                <w:color w:val="auto"/>
              </w:rPr>
            </w:pPr>
            <w:r>
              <w:rPr>
                <w:rFonts w:ascii="Times New Roman" w:cs="Times New Roman" w:eastAsia="Times New Roman" w:hAnsi="Times New Roman"/>
                <w:sz w:val="16"/>
                <w:szCs w:val="16"/>
                <w:b w:val="1"/>
                <w:bCs w:val="1"/>
                <w:color w:val="auto"/>
              </w:rPr>
              <w:t>EXHIBITS</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Exhibit</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80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Number</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0" w:type="dxa"/>
            <w:vAlign w:val="bottom"/>
            <w:gridSpan w:val="10"/>
          </w:tcPr>
          <w:p>
            <w:pPr>
              <w:ind w:left="780"/>
              <w:spacing w:after="0" w:line="142" w:lineRule="exact"/>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4.1</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60" w:type="dxa"/>
            <w:vAlign w:val="bottom"/>
            <w:tcBorders>
              <w:bottom w:val="single" w:sz="8" w:color="0000FF"/>
            </w:tcBorders>
            <w:gridSpan w:val="10"/>
          </w:tcPr>
          <w:p>
            <w:pPr>
              <w:spacing w:after="0"/>
              <w:rPr>
                <w:rFonts w:ascii="Times New Roman" w:cs="Times New Roman" w:eastAsia="Times New Roman" w:hAnsi="Times New Roman"/>
                <w:sz w:val="16"/>
                <w:szCs w:val="16"/>
                <w:color w:val="0000FF"/>
              </w:rPr>
            </w:pPr>
            <w:hyperlink r:id="rId13">
              <w:r>
                <w:rPr>
                  <w:rFonts w:ascii="Times New Roman" w:cs="Times New Roman" w:eastAsia="Times New Roman" w:hAnsi="Times New Roman"/>
                  <w:sz w:val="16"/>
                  <w:szCs w:val="16"/>
                  <w:color w:val="0000FF"/>
                </w:rPr>
                <w:t>Amended and Restated Certificate of Incorporation.</w:t>
              </w:r>
            </w:hyperlink>
          </w:p>
        </w:tc>
        <w:tc>
          <w:tcPr>
            <w:tcW w:w="290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5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4.2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60" w:type="dxa"/>
            <w:vAlign w:val="bottom"/>
            <w:gridSpan w:val="17"/>
          </w:tcPr>
          <w:p>
            <w:pPr>
              <w:spacing w:after="0"/>
              <w:rPr>
                <w:rFonts w:ascii="Times New Roman" w:cs="Times New Roman" w:eastAsia="Times New Roman" w:hAnsi="Times New Roman"/>
                <w:sz w:val="16"/>
                <w:szCs w:val="16"/>
                <w:color w:val="0000FF"/>
              </w:rPr>
            </w:pPr>
            <w:hyperlink r:id="rId14">
              <w:r>
                <w:rPr>
                  <w:rFonts w:ascii="Times New Roman" w:cs="Times New Roman" w:eastAsia="Times New Roman" w:hAnsi="Times New Roman"/>
                  <w:sz w:val="16"/>
                  <w:szCs w:val="16"/>
                  <w:color w:val="0000FF"/>
                </w:rPr>
                <w:t>Amended and Restated Bylaws.</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4.3</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20" w:type="dxa"/>
            <w:vAlign w:val="bottom"/>
            <w:tcBorders>
              <w:bottom w:val="single" w:sz="8" w:color="0000FF"/>
            </w:tcBorders>
            <w:gridSpan w:val="16"/>
          </w:tcPr>
          <w:p>
            <w:pPr>
              <w:spacing w:after="0"/>
              <w:rPr>
                <w:rFonts w:ascii="Times New Roman" w:cs="Times New Roman" w:eastAsia="Times New Roman" w:hAnsi="Times New Roman"/>
                <w:sz w:val="16"/>
                <w:szCs w:val="16"/>
                <w:color w:val="0000FF"/>
              </w:rPr>
            </w:pPr>
            <w:hyperlink r:id="rId15">
              <w:r>
                <w:rPr>
                  <w:rFonts w:ascii="Times New Roman" w:cs="Times New Roman" w:eastAsia="Times New Roman" w:hAnsi="Times New Roman"/>
                  <w:sz w:val="16"/>
                  <w:szCs w:val="16"/>
                  <w:color w:val="0000FF"/>
                </w:rPr>
                <w:t>Certificate of Designations of the Series A Junior Participating Cumulative Preferred Stock of</w:t>
              </w:r>
            </w:hyperlink>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
        </w:trPr>
        <w:tc>
          <w:tcPr>
            <w:tcW w:w="58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gridSpan w:val="4"/>
            <w:vMerge w:val="restart"/>
          </w:tcPr>
          <w:p>
            <w:pPr>
              <w:spacing w:after="0" w:line="183" w:lineRule="exact"/>
              <w:rPr>
                <w:rFonts w:ascii="Times New Roman" w:cs="Times New Roman" w:eastAsia="Times New Roman" w:hAnsi="Times New Roman"/>
                <w:sz w:val="16"/>
                <w:szCs w:val="16"/>
                <w:color w:val="0000FF"/>
                <w:w w:val="98"/>
              </w:rPr>
            </w:pPr>
            <w:hyperlink r:id="rId15">
              <w:r>
                <w:rPr>
                  <w:rFonts w:ascii="Times New Roman" w:cs="Times New Roman" w:eastAsia="Times New Roman" w:hAnsi="Times New Roman"/>
                  <w:sz w:val="16"/>
                  <w:szCs w:val="16"/>
                  <w:color w:val="0000FF"/>
                  <w:w w:val="98"/>
                </w:rPr>
                <w:t>the Registrant.</w:t>
              </w:r>
            </w:hyperlink>
          </w:p>
        </w:tc>
        <w:tc>
          <w:tcPr>
            <w:tcW w:w="5320" w:type="dxa"/>
            <w:vAlign w:val="bottom"/>
            <w:gridSpan w:val="13"/>
            <w:vMerge w:val="restart"/>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Borders>
              <w:bottom w:val="single" w:sz="8" w:color="0000FF"/>
            </w:tcBorders>
            <w:gridSpan w:val="4"/>
            <w:vMerge w:val="continue"/>
          </w:tcPr>
          <w:p>
            <w:pPr>
              <w:spacing w:after="0"/>
              <w:rPr>
                <w:sz w:val="11"/>
                <w:szCs w:val="11"/>
                <w:color w:val="auto"/>
              </w:rPr>
            </w:pPr>
          </w:p>
        </w:tc>
        <w:tc>
          <w:tcPr>
            <w:tcW w:w="5320" w:type="dxa"/>
            <w:vAlign w:val="bottom"/>
            <w:gridSpan w:val="1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4.4</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40" w:type="dxa"/>
            <w:vAlign w:val="bottom"/>
            <w:tcBorders>
              <w:bottom w:val="single" w:sz="8" w:color="0000FF"/>
            </w:tcBorders>
            <w:gridSpan w:val="15"/>
          </w:tcPr>
          <w:p>
            <w:pPr>
              <w:spacing w:after="0"/>
              <w:rPr>
                <w:rFonts w:ascii="Times New Roman" w:cs="Times New Roman" w:eastAsia="Times New Roman" w:hAnsi="Times New Roman"/>
                <w:sz w:val="16"/>
                <w:szCs w:val="16"/>
                <w:color w:val="0000FF"/>
              </w:rPr>
            </w:pPr>
            <w:hyperlink r:id="rId16">
              <w:r>
                <w:rPr>
                  <w:rFonts w:ascii="Times New Roman" w:cs="Times New Roman" w:eastAsia="Times New Roman" w:hAnsi="Times New Roman"/>
                  <w:sz w:val="16"/>
                  <w:szCs w:val="16"/>
                  <w:color w:val="0000FF"/>
                </w:rPr>
                <w:t>Stockholder Rights Agreement (which includes the form of Right Certificate as Exhibit B</w:t>
              </w:r>
            </w:hyperlink>
          </w:p>
        </w:tc>
        <w:tc>
          <w:tcPr>
            <w:tcW w:w="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58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gridSpan w:val="2"/>
            <w:vMerge w:val="restart"/>
          </w:tcPr>
          <w:p>
            <w:pPr>
              <w:spacing w:after="0" w:line="183" w:lineRule="exact"/>
              <w:rPr>
                <w:rFonts w:ascii="Times New Roman" w:cs="Times New Roman" w:eastAsia="Times New Roman" w:hAnsi="Times New Roman"/>
                <w:sz w:val="16"/>
                <w:szCs w:val="16"/>
                <w:color w:val="0000FF"/>
                <w:w w:val="96"/>
              </w:rPr>
            </w:pPr>
            <w:hyperlink r:id="rId16">
              <w:r>
                <w:rPr>
                  <w:rFonts w:ascii="Times New Roman" w:cs="Times New Roman" w:eastAsia="Times New Roman" w:hAnsi="Times New Roman"/>
                  <w:sz w:val="16"/>
                  <w:szCs w:val="16"/>
                  <w:color w:val="0000FF"/>
                  <w:w w:val="96"/>
                </w:rPr>
                <w:t>thereto).</w:t>
              </w:r>
            </w:hyperlink>
          </w:p>
        </w:tc>
        <w:tc>
          <w:tcPr>
            <w:tcW w:w="5720" w:type="dxa"/>
            <w:vAlign w:val="bottom"/>
            <w:gridSpan w:val="15"/>
            <w:vMerge w:val="restart"/>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bottom w:val="single" w:sz="8" w:color="0000FF"/>
            </w:tcBorders>
            <w:gridSpan w:val="2"/>
            <w:vMerge w:val="continue"/>
          </w:tcPr>
          <w:p>
            <w:pPr>
              <w:spacing w:after="0"/>
              <w:rPr>
                <w:sz w:val="11"/>
                <w:szCs w:val="11"/>
                <w:color w:val="auto"/>
              </w:rPr>
            </w:pPr>
          </w:p>
        </w:tc>
        <w:tc>
          <w:tcPr>
            <w:tcW w:w="5720" w:type="dxa"/>
            <w:vAlign w:val="bottom"/>
            <w:gridSpan w:val="1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4.5</w:t>
            </w:r>
          </w:p>
        </w:tc>
        <w:tc>
          <w:tcPr>
            <w:tcW w:w="360" w:type="dxa"/>
            <w:vAlign w:val="bottom"/>
          </w:tcPr>
          <w:p>
            <w:pPr>
              <w:spacing w:after="0"/>
              <w:rPr>
                <w:sz w:val="18"/>
                <w:szCs w:val="18"/>
                <w:color w:val="auto"/>
              </w:rPr>
            </w:pPr>
          </w:p>
        </w:tc>
        <w:tc>
          <w:tcPr>
            <w:tcW w:w="5740" w:type="dxa"/>
            <w:vAlign w:val="bottom"/>
            <w:tcBorders>
              <w:bottom w:val="single" w:sz="8" w:color="0000FF"/>
            </w:tcBorders>
            <w:gridSpan w:val="15"/>
          </w:tcPr>
          <w:p>
            <w:pPr>
              <w:spacing w:after="0"/>
              <w:rPr>
                <w:rFonts w:ascii="Times New Roman" w:cs="Times New Roman" w:eastAsia="Times New Roman" w:hAnsi="Times New Roman"/>
                <w:sz w:val="16"/>
                <w:szCs w:val="16"/>
                <w:color w:val="0000FF"/>
              </w:rPr>
            </w:pPr>
            <w:hyperlink r:id="rId17">
              <w:r>
                <w:rPr>
                  <w:rFonts w:ascii="Times New Roman" w:cs="Times New Roman" w:eastAsia="Times New Roman" w:hAnsi="Times New Roman"/>
                  <w:sz w:val="16"/>
                  <w:szCs w:val="16"/>
                  <w:color w:val="0000FF"/>
                </w:rPr>
                <w:t>Sensei Biotherapeutics, Inc. 2021 Equity Incentive Plan and forms of option agreements</w:t>
              </w:r>
            </w:hyperlink>
          </w:p>
        </w:tc>
        <w:tc>
          <w:tcPr>
            <w:tcW w:w="5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58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6280" w:type="dxa"/>
            <w:vAlign w:val="bottom"/>
            <w:gridSpan w:val="18"/>
            <w:vMerge w:val="restart"/>
          </w:tcPr>
          <w:p>
            <w:pPr>
              <w:spacing w:after="0" w:line="183" w:lineRule="exact"/>
              <w:rPr>
                <w:rFonts w:ascii="Times New Roman" w:cs="Times New Roman" w:eastAsia="Times New Roman" w:hAnsi="Times New Roman"/>
                <w:sz w:val="16"/>
                <w:szCs w:val="16"/>
                <w:color w:val="0000FF"/>
              </w:rPr>
            </w:pPr>
            <w:hyperlink r:id="rId17">
              <w:r>
                <w:rPr>
                  <w:rFonts w:ascii="Times New Roman" w:cs="Times New Roman" w:eastAsia="Times New Roman" w:hAnsi="Times New Roman"/>
                  <w:sz w:val="16"/>
                  <w:szCs w:val="16"/>
                  <w:color w:val="0000FF"/>
                </w:rPr>
                <w:t>thereunder.</w:t>
              </w:r>
            </w:hyperlink>
          </w:p>
        </w:tc>
        <w:tc>
          <w:tcPr>
            <w:tcW w:w="0" w:type="dxa"/>
            <w:vAlign w:val="bottom"/>
          </w:tcPr>
          <w:p>
            <w:pPr>
              <w:spacing w:after="0"/>
              <w:rPr>
                <w:sz w:val="1"/>
                <w:szCs w:val="1"/>
                <w:color w:val="auto"/>
              </w:rPr>
            </w:pPr>
          </w:p>
        </w:tc>
      </w:tr>
      <w:tr>
        <w:trPr>
          <w:trHeight w:val="128"/>
        </w:trPr>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80" w:type="dxa"/>
            <w:vAlign w:val="bottom"/>
            <w:gridSpan w:val="1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4.6</w:t>
            </w:r>
          </w:p>
        </w:tc>
        <w:tc>
          <w:tcPr>
            <w:tcW w:w="360" w:type="dxa"/>
            <w:vAlign w:val="bottom"/>
          </w:tcPr>
          <w:p>
            <w:pPr>
              <w:spacing w:after="0"/>
              <w:rPr>
                <w:sz w:val="18"/>
                <w:szCs w:val="18"/>
                <w:color w:val="auto"/>
              </w:rPr>
            </w:pPr>
          </w:p>
        </w:tc>
        <w:tc>
          <w:tcPr>
            <w:tcW w:w="4260" w:type="dxa"/>
            <w:vAlign w:val="bottom"/>
            <w:tcBorders>
              <w:bottom w:val="single" w:sz="8" w:color="0000FF"/>
            </w:tcBorders>
            <w:gridSpan w:val="13"/>
          </w:tcPr>
          <w:p>
            <w:pPr>
              <w:spacing w:after="0"/>
              <w:rPr>
                <w:rFonts w:ascii="Times New Roman" w:cs="Times New Roman" w:eastAsia="Times New Roman" w:hAnsi="Times New Roman"/>
                <w:sz w:val="16"/>
                <w:szCs w:val="16"/>
                <w:color w:val="0000FF"/>
              </w:rPr>
            </w:pPr>
            <w:hyperlink r:id="rId18">
              <w:r>
                <w:rPr>
                  <w:rFonts w:ascii="Times New Roman" w:cs="Times New Roman" w:eastAsia="Times New Roman" w:hAnsi="Times New Roman"/>
                  <w:sz w:val="16"/>
                  <w:szCs w:val="16"/>
                  <w:color w:val="0000FF"/>
                </w:rPr>
                <w:t>Sensei Biotherapeutics, Inc. 2021 Employee Stock Purchase Plan.</w:t>
              </w:r>
            </w:hyperlink>
          </w:p>
        </w:tc>
        <w:tc>
          <w:tcPr>
            <w:tcW w:w="1100" w:type="dxa"/>
            <w:vAlign w:val="bottom"/>
            <w:vMerge w:val="restart"/>
          </w:tcPr>
          <w:p>
            <w:pPr>
              <w:spacing w:after="0"/>
              <w:rPr>
                <w:sz w:val="18"/>
                <w:szCs w:val="18"/>
                <w:color w:val="auto"/>
              </w:rPr>
            </w:pPr>
          </w:p>
        </w:tc>
        <w:tc>
          <w:tcPr>
            <w:tcW w:w="920" w:type="dxa"/>
            <w:vAlign w:val="bottom"/>
            <w:gridSpan w:val="4"/>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58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gridSpan w:val="2"/>
          </w:tcPr>
          <w:p>
            <w:pPr>
              <w:spacing w:after="0"/>
              <w:rPr>
                <w:sz w:val="4"/>
                <w:szCs w:val="4"/>
                <w:color w:val="auto"/>
              </w:rPr>
            </w:pPr>
          </w:p>
        </w:tc>
        <w:tc>
          <w:tcPr>
            <w:tcW w:w="740" w:type="dxa"/>
            <w:vAlign w:val="bottom"/>
            <w:gridSpan w:val="4"/>
          </w:tcPr>
          <w:p>
            <w:pPr>
              <w:spacing w:after="0"/>
              <w:rPr>
                <w:sz w:val="4"/>
                <w:szCs w:val="4"/>
                <w:color w:val="auto"/>
              </w:rPr>
            </w:pPr>
          </w:p>
        </w:tc>
        <w:tc>
          <w:tcPr>
            <w:tcW w:w="500" w:type="dxa"/>
            <w:vAlign w:val="bottom"/>
          </w:tcPr>
          <w:p>
            <w:pPr>
              <w:spacing w:after="0"/>
              <w:rPr>
                <w:sz w:val="4"/>
                <w:szCs w:val="4"/>
                <w:color w:val="auto"/>
              </w:rPr>
            </w:pPr>
          </w:p>
        </w:tc>
        <w:tc>
          <w:tcPr>
            <w:tcW w:w="1660" w:type="dxa"/>
            <w:vAlign w:val="bottom"/>
            <w:gridSpan w:val="3"/>
          </w:tcPr>
          <w:p>
            <w:pPr>
              <w:spacing w:after="0"/>
              <w:rPr>
                <w:sz w:val="4"/>
                <w:szCs w:val="4"/>
                <w:color w:val="auto"/>
              </w:rPr>
            </w:pPr>
          </w:p>
        </w:tc>
        <w:tc>
          <w:tcPr>
            <w:tcW w:w="1020" w:type="dxa"/>
            <w:vAlign w:val="bottom"/>
            <w:gridSpan w:val="3"/>
          </w:tcPr>
          <w:p>
            <w:pPr>
              <w:spacing w:after="0"/>
              <w:rPr>
                <w:sz w:val="4"/>
                <w:szCs w:val="4"/>
                <w:color w:val="auto"/>
              </w:rPr>
            </w:pPr>
          </w:p>
        </w:tc>
        <w:tc>
          <w:tcPr>
            <w:tcW w:w="1100" w:type="dxa"/>
            <w:vAlign w:val="bottom"/>
            <w:vMerge w:val="continue"/>
          </w:tcPr>
          <w:p>
            <w:pPr>
              <w:spacing w:after="0"/>
              <w:rPr>
                <w:sz w:val="4"/>
                <w:szCs w:val="4"/>
                <w:color w:val="auto"/>
              </w:rPr>
            </w:pPr>
          </w:p>
        </w:tc>
        <w:tc>
          <w:tcPr>
            <w:tcW w:w="9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5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4.7</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60" w:type="dxa"/>
            <w:vAlign w:val="bottom"/>
            <w:tcBorders>
              <w:bottom w:val="single" w:sz="8" w:color="0000FF"/>
            </w:tcBorders>
            <w:gridSpan w:val="17"/>
          </w:tcPr>
          <w:p>
            <w:pPr>
              <w:spacing w:after="0"/>
              <w:rPr>
                <w:rFonts w:ascii="Times New Roman" w:cs="Times New Roman" w:eastAsia="Times New Roman" w:hAnsi="Times New Roman"/>
                <w:sz w:val="16"/>
                <w:szCs w:val="16"/>
                <w:color w:val="0000FF"/>
              </w:rPr>
            </w:pPr>
            <w:hyperlink r:id="rId19">
              <w:r>
                <w:rPr>
                  <w:rFonts w:ascii="Times New Roman" w:cs="Times New Roman" w:eastAsia="Times New Roman" w:hAnsi="Times New Roman"/>
                  <w:sz w:val="16"/>
                  <w:szCs w:val="16"/>
                  <w:color w:val="0000FF"/>
                </w:rPr>
                <w:t>Form of Restricted Stock Unit Grant Notice and Award Agreement under 2021 Equity Incentive</w:t>
              </w:r>
            </w:hyperlink>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60" w:type="dxa"/>
            <w:vAlign w:val="bottom"/>
            <w:gridSpan w:val="17"/>
          </w:tcPr>
          <w:p>
            <w:pPr>
              <w:spacing w:after="0" w:line="183" w:lineRule="exact"/>
              <w:rPr>
                <w:rFonts w:ascii="Times New Roman" w:cs="Times New Roman" w:eastAsia="Times New Roman" w:hAnsi="Times New Roman"/>
                <w:sz w:val="16"/>
                <w:szCs w:val="16"/>
                <w:color w:val="0000FF"/>
              </w:rPr>
            </w:pPr>
            <w:hyperlink r:id="rId19">
              <w:r>
                <w:rPr>
                  <w:rFonts w:ascii="Times New Roman" w:cs="Times New Roman" w:eastAsia="Times New Roman" w:hAnsi="Times New Roman"/>
                  <w:sz w:val="16"/>
                  <w:szCs w:val="16"/>
                  <w:color w:val="0000FF"/>
                </w:rPr>
                <w:t>Plan.</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5.1*</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w w:val="98"/>
              </w:rPr>
              <w:t>Opinion of Cooley LLP.</w:t>
            </w:r>
          </w:p>
        </w:tc>
        <w:tc>
          <w:tcPr>
            <w:tcW w:w="4700" w:type="dxa"/>
            <w:vAlign w:val="bottom"/>
            <w:gridSpan w:val="11"/>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23.1*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Consent of Cooley LLP (included in Exhibit 5.1).</w:t>
            </w:r>
          </w:p>
        </w:tc>
        <w:tc>
          <w:tcPr>
            <w:tcW w:w="30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23.2*</w:t>
            </w:r>
          </w:p>
        </w:tc>
        <w:tc>
          <w:tcPr>
            <w:tcW w:w="360" w:type="dxa"/>
            <w:vAlign w:val="bottom"/>
          </w:tcPr>
          <w:p>
            <w:pPr>
              <w:spacing w:after="0"/>
              <w:rPr>
                <w:sz w:val="21"/>
                <w:szCs w:val="21"/>
                <w:color w:val="auto"/>
              </w:rPr>
            </w:pPr>
          </w:p>
        </w:tc>
        <w:tc>
          <w:tcPr>
            <w:tcW w:w="5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rPr>
              <w:t>Consent of Deloitte &amp; Touche LLP, independent registered public accounting firm.</w:t>
            </w:r>
          </w:p>
        </w:tc>
        <w:tc>
          <w:tcPr>
            <w:tcW w:w="92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5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24.1*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60" w:type="dxa"/>
            <w:vAlign w:val="bottom"/>
            <w:gridSpan w:val="17"/>
          </w:tcPr>
          <w:p>
            <w:pPr>
              <w:spacing w:after="0"/>
              <w:rPr>
                <w:sz w:val="20"/>
                <w:szCs w:val="20"/>
                <w:color w:val="auto"/>
              </w:rPr>
            </w:pPr>
            <w:r>
              <w:rPr>
                <w:rFonts w:ascii="Times New Roman" w:cs="Times New Roman" w:eastAsia="Times New Roman" w:hAnsi="Times New Roman"/>
                <w:sz w:val="16"/>
                <w:szCs w:val="16"/>
                <w:color w:val="0000ED"/>
              </w:rPr>
              <w:t>Power of Attorney (included on the signature page of this Form S-8).</w:t>
            </w:r>
          </w:p>
        </w:tc>
        <w:tc>
          <w:tcPr>
            <w:tcW w:w="0" w:type="dxa"/>
            <w:vAlign w:val="bottom"/>
          </w:tcPr>
          <w:p>
            <w:pPr>
              <w:spacing w:after="0"/>
              <w:rPr>
                <w:sz w:val="1"/>
                <w:szCs w:val="1"/>
                <w:color w:val="auto"/>
              </w:rPr>
            </w:pPr>
          </w:p>
        </w:tc>
      </w:tr>
      <w:tr>
        <w:trPr>
          <w:trHeight w:val="262"/>
        </w:trPr>
        <w:tc>
          <w:tcPr>
            <w:tcW w:w="5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107*</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w w:val="98"/>
              </w:rPr>
              <w:t>Filing Fee Table</w:t>
            </w:r>
          </w:p>
        </w:tc>
        <w:tc>
          <w:tcPr>
            <w:tcW w:w="5200" w:type="dxa"/>
            <w:vAlign w:val="bottom"/>
            <w:gridSpan w:val="12"/>
          </w:tcPr>
          <w:p>
            <w:pPr>
              <w:spacing w:after="0"/>
              <w:rPr>
                <w:sz w:val="22"/>
                <w:szCs w:val="22"/>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 Filed herewith.</w:t>
      </w:r>
    </w:p>
    <w:p>
      <w:pPr>
        <w:spacing w:after="0" w:line="19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762000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900" w:type="dxa"/>
            <w:vAlign w:val="bottom"/>
            <w:tcBorders>
              <w:top w:val="single" w:sz="8" w:color="auto"/>
            </w:tcBorders>
            <w:gridSpan w:val="3"/>
          </w:tcPr>
          <w:p>
            <w:pPr>
              <w:ind w:left="260"/>
              <w:spacing w:after="0" w:line="128" w:lineRule="exact"/>
              <w:rPr>
                <w:sz w:val="20"/>
                <w:szCs w:val="20"/>
                <w:color w:val="auto"/>
              </w:rPr>
            </w:pPr>
            <w:r>
              <w:rPr>
                <w:rFonts w:ascii="Times New Roman" w:cs="Times New Roman" w:eastAsia="Times New Roman" w:hAnsi="Times New Roman"/>
                <w:sz w:val="13"/>
                <w:szCs w:val="13"/>
                <w:b w:val="1"/>
                <w:bCs w:val="1"/>
                <w:color w:val="auto"/>
              </w:rPr>
              <w:t>Schedule</w:t>
            </w:r>
          </w:p>
        </w:tc>
        <w:tc>
          <w:tcPr>
            <w:tcW w:w="3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ind w:right="620"/>
              <w:spacing w:after="0" w:line="128" w:lineRule="exact"/>
              <w:rPr>
                <w:sz w:val="20"/>
                <w:szCs w:val="20"/>
                <w:color w:val="auto"/>
              </w:rPr>
            </w:pPr>
            <w:r>
              <w:rPr>
                <w:rFonts w:ascii="Times New Roman" w:cs="Times New Roman" w:eastAsia="Times New Roman" w:hAnsi="Times New Roman"/>
                <w:sz w:val="13"/>
                <w:szCs w:val="13"/>
                <w:b w:val="1"/>
                <w:bCs w:val="1"/>
                <w:color w:val="auto"/>
              </w:rPr>
              <w:t>File</w:t>
            </w:r>
          </w:p>
        </w:tc>
        <w:tc>
          <w:tcPr>
            <w:tcW w:w="4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r>
      <w:tr>
        <w:trPr>
          <w:trHeight w:val="142"/>
        </w:trPr>
        <w:tc>
          <w:tcPr>
            <w:tcW w:w="900" w:type="dxa"/>
            <w:vAlign w:val="bottom"/>
            <w:gridSpan w:val="3"/>
          </w:tcPr>
          <w:p>
            <w:pPr>
              <w:jc w:val="center"/>
              <w:ind w:left="8"/>
              <w:spacing w:after="0" w:line="142" w:lineRule="exact"/>
              <w:rPr>
                <w:sz w:val="20"/>
                <w:szCs w:val="20"/>
                <w:color w:val="auto"/>
              </w:rPr>
            </w:pPr>
            <w:r>
              <w:rPr>
                <w:rFonts w:ascii="Times New Roman" w:cs="Times New Roman" w:eastAsia="Times New Roman" w:hAnsi="Times New Roman"/>
                <w:sz w:val="13"/>
                <w:szCs w:val="13"/>
                <w:b w:val="1"/>
                <w:bCs w:val="1"/>
                <w:color w:val="auto"/>
                <w:w w:val="96"/>
              </w:rPr>
              <w:t>Form</w:t>
            </w:r>
          </w:p>
        </w:tc>
        <w:tc>
          <w:tcPr>
            <w:tcW w:w="380" w:type="dxa"/>
            <w:vAlign w:val="bottom"/>
          </w:tcPr>
          <w:p>
            <w:pPr>
              <w:spacing w:after="0"/>
              <w:rPr>
                <w:sz w:val="12"/>
                <w:szCs w:val="12"/>
                <w:color w:val="auto"/>
              </w:rPr>
            </w:pPr>
          </w:p>
        </w:tc>
        <w:tc>
          <w:tcPr>
            <w:tcW w:w="920" w:type="dxa"/>
            <w:vAlign w:val="bottom"/>
            <w:gridSpan w:val="2"/>
          </w:tcPr>
          <w:p>
            <w:pPr>
              <w:jc w:val="right"/>
              <w:ind w:right="480"/>
              <w:spacing w:after="0" w:line="142" w:lineRule="exact"/>
              <w:rPr>
                <w:sz w:val="20"/>
                <w:szCs w:val="20"/>
                <w:color w:val="auto"/>
              </w:rPr>
            </w:pPr>
            <w:r>
              <w:rPr>
                <w:rFonts w:ascii="Times New Roman" w:cs="Times New Roman" w:eastAsia="Times New Roman" w:hAnsi="Times New Roman"/>
                <w:sz w:val="13"/>
                <w:szCs w:val="13"/>
                <w:b w:val="1"/>
                <w:bCs w:val="1"/>
                <w:color w:val="auto"/>
                <w:w w:val="90"/>
              </w:rPr>
              <w:t>Number</w:t>
            </w:r>
          </w:p>
        </w:tc>
        <w:tc>
          <w:tcPr>
            <w:tcW w:w="60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020" w:type="dxa"/>
            <w:vAlign w:val="bottom"/>
            <w:gridSpan w:val="3"/>
          </w:tcPr>
          <w:p>
            <w:pPr>
              <w:jc w:val="right"/>
              <w:ind w:right="239"/>
              <w:spacing w:after="0" w:line="142" w:lineRule="exact"/>
              <w:rPr>
                <w:sz w:val="20"/>
                <w:szCs w:val="20"/>
                <w:color w:val="auto"/>
              </w:rPr>
            </w:pPr>
            <w:r>
              <w:rPr>
                <w:rFonts w:ascii="Times New Roman" w:cs="Times New Roman" w:eastAsia="Times New Roman" w:hAnsi="Times New Roman"/>
                <w:sz w:val="13"/>
                <w:szCs w:val="13"/>
                <w:b w:val="1"/>
                <w:bCs w:val="1"/>
                <w:color w:val="auto"/>
              </w:rPr>
              <w:t>Filing Date</w:t>
            </w:r>
          </w:p>
        </w:tc>
      </w:tr>
      <w:tr>
        <w:trPr>
          <w:trHeight w:val="20"/>
        </w:trPr>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44"/>
        </w:trPr>
        <w:tc>
          <w:tcPr>
            <w:tcW w:w="340" w:type="dxa"/>
            <w:vAlign w:val="bottom"/>
          </w:tcPr>
          <w:p>
            <w:pPr>
              <w:spacing w:after="0"/>
              <w:rPr>
                <w:sz w:val="21"/>
                <w:szCs w:val="21"/>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8-K</w:t>
            </w:r>
          </w:p>
        </w:tc>
        <w:tc>
          <w:tcPr>
            <w:tcW w:w="130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001-39980</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02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02/11/2021</w:t>
            </w:r>
          </w:p>
        </w:tc>
      </w:tr>
      <w:tr>
        <w:trPr>
          <w:trHeight w:val="297"/>
        </w:trPr>
        <w:tc>
          <w:tcPr>
            <w:tcW w:w="340" w:type="dxa"/>
            <w:vAlign w:val="bottom"/>
          </w:tcPr>
          <w:p>
            <w:pPr>
              <w:spacing w:after="0"/>
              <w:rPr>
                <w:sz w:val="24"/>
                <w:szCs w:val="24"/>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8-K</w:t>
            </w:r>
          </w:p>
        </w:tc>
        <w:tc>
          <w:tcPr>
            <w:tcW w:w="130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001-39980</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02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02/11/2021</w:t>
            </w:r>
          </w:p>
        </w:tc>
      </w:tr>
      <w:tr>
        <w:trPr>
          <w:trHeight w:val="297"/>
        </w:trPr>
        <w:tc>
          <w:tcPr>
            <w:tcW w:w="340" w:type="dxa"/>
            <w:vAlign w:val="bottom"/>
          </w:tcPr>
          <w:p>
            <w:pPr>
              <w:spacing w:after="0"/>
              <w:rPr>
                <w:sz w:val="24"/>
                <w:szCs w:val="24"/>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8-K</w:t>
            </w:r>
          </w:p>
        </w:tc>
        <w:tc>
          <w:tcPr>
            <w:tcW w:w="130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001-39980</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02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03/07/2023</w:t>
            </w:r>
          </w:p>
        </w:tc>
      </w:tr>
      <w:tr>
        <w:trPr>
          <w:trHeight w:val="432"/>
        </w:trPr>
        <w:tc>
          <w:tcPr>
            <w:tcW w:w="340" w:type="dxa"/>
            <w:vAlign w:val="bottom"/>
          </w:tcPr>
          <w:p>
            <w:pPr>
              <w:spacing w:after="0"/>
              <w:rPr>
                <w:sz w:val="24"/>
                <w:szCs w:val="24"/>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8-K</w:t>
            </w:r>
          </w:p>
        </w:tc>
        <w:tc>
          <w:tcPr>
            <w:tcW w:w="13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001-39980</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2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03/07/2023</w:t>
            </w:r>
          </w:p>
        </w:tc>
      </w:tr>
      <w:tr>
        <w:trPr>
          <w:trHeight w:val="432"/>
        </w:trPr>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S-1/A</w:t>
            </w:r>
          </w:p>
        </w:tc>
        <w:tc>
          <w:tcPr>
            <w:tcW w:w="13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333-252138</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10.2</w:t>
            </w:r>
          </w:p>
        </w:tc>
        <w:tc>
          <w:tcPr>
            <w:tcW w:w="102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02/01/2021</w:t>
            </w:r>
          </w:p>
        </w:tc>
      </w:tr>
      <w:tr>
        <w:trPr>
          <w:trHeight w:val="432"/>
        </w:trPr>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S-1/A</w:t>
            </w:r>
          </w:p>
        </w:tc>
        <w:tc>
          <w:tcPr>
            <w:tcW w:w="13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333-252138</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10.10</w:t>
            </w:r>
          </w:p>
        </w:tc>
        <w:tc>
          <w:tcPr>
            <w:tcW w:w="102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02/01/2021</w:t>
            </w:r>
          </w:p>
        </w:tc>
      </w:tr>
      <w:tr>
        <w:trPr>
          <w:trHeight w:val="270"/>
        </w:trPr>
        <w:tc>
          <w:tcPr>
            <w:tcW w:w="340" w:type="dxa"/>
            <w:vAlign w:val="bottom"/>
          </w:tcPr>
          <w:p>
            <w:pPr>
              <w:spacing w:after="0"/>
              <w:rPr>
                <w:sz w:val="23"/>
                <w:szCs w:val="23"/>
                <w:color w:val="auto"/>
              </w:rPr>
            </w:pPr>
          </w:p>
        </w:tc>
        <w:tc>
          <w:tcPr>
            <w:tcW w:w="5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S-8</w:t>
            </w:r>
          </w:p>
        </w:tc>
        <w:tc>
          <w:tcPr>
            <w:tcW w:w="13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333-264827</w:t>
            </w:r>
          </w:p>
        </w:tc>
        <w:tc>
          <w:tcPr>
            <w:tcW w:w="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4.5</w:t>
            </w:r>
          </w:p>
        </w:tc>
        <w:tc>
          <w:tcPr>
            <w:tcW w:w="200" w:type="dxa"/>
            <w:vAlign w:val="bottom"/>
          </w:tcPr>
          <w:p>
            <w:pPr>
              <w:spacing w:after="0"/>
              <w:rPr>
                <w:sz w:val="23"/>
                <w:szCs w:val="23"/>
                <w:color w:val="auto"/>
              </w:rPr>
            </w:pPr>
          </w:p>
        </w:tc>
        <w:tc>
          <w:tcPr>
            <w:tcW w:w="102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05/10/2022</w:t>
            </w:r>
          </w:p>
        </w:tc>
      </w:tr>
      <w:tr>
        <w:trPr>
          <w:trHeight w:val="473"/>
        </w:trPr>
        <w:tc>
          <w:tcPr>
            <w:tcW w:w="340" w:type="dxa"/>
            <w:vAlign w:val="bottom"/>
          </w:tcPr>
          <w:p>
            <w:pPr>
              <w:spacing w:after="0"/>
              <w:rPr>
                <w:sz w:val="24"/>
                <w:szCs w:val="24"/>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97"/>
        </w:trPr>
        <w:tc>
          <w:tcPr>
            <w:tcW w:w="340" w:type="dxa"/>
            <w:vAlign w:val="bottom"/>
          </w:tcPr>
          <w:p>
            <w:pPr>
              <w:spacing w:after="0"/>
              <w:rPr>
                <w:sz w:val="24"/>
                <w:szCs w:val="24"/>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97"/>
        </w:trPr>
        <w:tc>
          <w:tcPr>
            <w:tcW w:w="340" w:type="dxa"/>
            <w:vAlign w:val="bottom"/>
          </w:tcPr>
          <w:p>
            <w:pPr>
              <w:spacing w:after="0"/>
              <w:rPr>
                <w:sz w:val="24"/>
                <w:szCs w:val="24"/>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97"/>
        </w:trPr>
        <w:tc>
          <w:tcPr>
            <w:tcW w:w="340" w:type="dxa"/>
            <w:vAlign w:val="bottom"/>
          </w:tcPr>
          <w:p>
            <w:pPr>
              <w:spacing w:after="0"/>
              <w:rPr>
                <w:sz w:val="24"/>
                <w:szCs w:val="24"/>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97"/>
        </w:trPr>
        <w:tc>
          <w:tcPr>
            <w:tcW w:w="340" w:type="dxa"/>
            <w:vAlign w:val="bottom"/>
          </w:tcPr>
          <w:p>
            <w:pPr>
              <w:spacing w:after="0"/>
              <w:rPr>
                <w:sz w:val="24"/>
                <w:szCs w:val="24"/>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bl>
    <w:p>
      <w:pPr>
        <w:sectPr>
          <w:pgSz w:w="11900" w:h="16838" w:orient="portrait"/>
          <w:cols w:equalWidth="0" w:num="2">
            <w:col w:w="7220" w:space="60"/>
            <w:col w:w="3820"/>
          </w:cols>
          <w:pgMar w:left="360" w:top="1069"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37"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Boston, Commonwealth of Massachusetts, on this 29th day of February, 2024.</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Sensei Biotherapeutics, Inc.</w:t>
      </w:r>
    </w:p>
    <w:p>
      <w:pPr>
        <w:spacing w:after="0" w:line="252" w:lineRule="exact"/>
        <w:rPr>
          <w:sz w:val="20"/>
          <w:szCs w:val="20"/>
          <w:color w:val="auto"/>
        </w:rPr>
      </w:pPr>
    </w:p>
    <w:p>
      <w:pPr>
        <w:ind w:left="20"/>
        <w:spacing w:after="0"/>
        <w:tabs>
          <w:tab w:leader="none" w:pos="580" w:val="left"/>
          <w:tab w:leader="none" w:pos="4960" w:val="left"/>
          <w:tab w:leader="none" w:pos="7740" w:val="left"/>
        </w:tabs>
        <w:rPr>
          <w:sz w:val="20"/>
          <w:szCs w:val="20"/>
          <w:color w:val="auto"/>
        </w:rPr>
      </w:pPr>
      <w:r>
        <w:rPr>
          <w:rFonts w:ascii="Times New Roman" w:cs="Times New Roman" w:eastAsia="Times New Roman" w:hAnsi="Times New Roman"/>
          <w:sz w:val="18"/>
          <w:szCs w:val="18"/>
          <w:color w:val="auto"/>
        </w:rPr>
        <w:t>Date:</w:t>
        <w:tab/>
        <w:t>February 29,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Celebi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26035</wp:posOffset>
            </wp:positionV>
            <wp:extent cx="37287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21"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8"/>
          <w:szCs w:val="18"/>
          <w:b w:val="1"/>
          <w:bCs w:val="1"/>
          <w:color w:val="auto"/>
        </w:rPr>
        <w:t>John Celebi</w:t>
      </w:r>
    </w:p>
    <w:p>
      <w:pPr>
        <w:spacing w:after="0" w:line="23"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3"/>
          <w:szCs w:val="13"/>
          <w:b w:val="1"/>
          <w:bCs w:val="1"/>
          <w:color w:val="auto"/>
        </w:rPr>
        <w:t>NOW</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3"/>
          <w:szCs w:val="13"/>
          <w:b w:val="1"/>
          <w:bCs w:val="1"/>
          <w:color w:val="auto"/>
        </w:rPr>
        <w:t>LL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ERSONS</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3"/>
          <w:szCs w:val="13"/>
          <w:b w:val="1"/>
          <w:bCs w:val="1"/>
          <w:color w:val="auto"/>
        </w:rPr>
        <w:t>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3"/>
          <w:szCs w:val="13"/>
          <w:b w:val="1"/>
          <w:bCs w:val="1"/>
          <w:color w:val="auto"/>
        </w:rPr>
        <w:t>HESE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RESENTS</w:t>
      </w:r>
      <w:r>
        <w:rPr>
          <w:rFonts w:ascii="Times New Roman" w:cs="Times New Roman" w:eastAsia="Times New Roman" w:hAnsi="Times New Roman"/>
          <w:sz w:val="18"/>
          <w:szCs w:val="18"/>
          <w:color w:val="auto"/>
        </w:rPr>
        <w:t>, that each person whose signature appears below constitutes and appoints John Celebi and Erin Colgan,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them, as his or her true and lawful attorneys-in-fact and agents, each with the full power of substitution, for him or her and in their name, place or stead, in any and all capacities, to sign any and all amendments (including post-effective amendments) to this Registration Statement on Form S-8,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296"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11"/>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50"/>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Celebi</w:t>
            </w:r>
          </w:p>
        </w:tc>
        <w:tc>
          <w:tcPr>
            <w:tcW w:w="22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r>
      <w:tr>
        <w:trPr>
          <w:trHeight w:val="232"/>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John Celebi</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322"/>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 (Principal Financial and</w:t>
            </w: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50"/>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Erin Colgan</w:t>
            </w:r>
          </w:p>
        </w:tc>
        <w:tc>
          <w:tcPr>
            <w:tcW w:w="22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Accounting Officer</w:t>
            </w:r>
            <w:r>
              <w:rPr>
                <w:rFonts w:ascii="Times New Roman" w:cs="Times New Roman" w:eastAsia="Times New Roman" w:hAnsi="Times New Roman"/>
                <w:sz w:val="18"/>
                <w:szCs w:val="18"/>
                <w:i w:val="1"/>
                <w:iCs w:val="1"/>
                <w:color w:val="auto"/>
                <w:w w:val="99"/>
              </w:rPr>
              <w:t>)</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r>
      <w:tr>
        <w:trPr>
          <w:trHeight w:val="232"/>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Erin Colgan</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356"/>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William Ringo</w:t>
            </w:r>
          </w:p>
        </w:tc>
        <w:tc>
          <w:tcPr>
            <w:tcW w:w="2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r>
      <w:tr>
        <w:trPr>
          <w:trHeight w:val="232"/>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William Ringo</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356"/>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Bob Holmen</w:t>
            </w:r>
          </w:p>
        </w:tc>
        <w:tc>
          <w:tcPr>
            <w:tcW w:w="2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r>
      <w:tr>
        <w:trPr>
          <w:trHeight w:val="232"/>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Bob Holmen</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356"/>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Peyer, Ph.D.</w:t>
            </w:r>
          </w:p>
        </w:tc>
        <w:tc>
          <w:tcPr>
            <w:tcW w:w="2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r>
      <w:tr>
        <w:trPr>
          <w:trHeight w:val="232"/>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James Peyer, Ph.D.</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356"/>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Thomas Ricks</w:t>
            </w:r>
          </w:p>
        </w:tc>
        <w:tc>
          <w:tcPr>
            <w:tcW w:w="2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r>
      <w:tr>
        <w:trPr>
          <w:trHeight w:val="232"/>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Thomas Ricks</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356"/>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Deneen Vojta, M.D.</w:t>
            </w:r>
          </w:p>
        </w:tc>
        <w:tc>
          <w:tcPr>
            <w:tcW w:w="2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r>
      <w:tr>
        <w:trPr>
          <w:trHeight w:val="232"/>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Deneen Vojta, M.D.</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356"/>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Jessie English, Ph.D.</w:t>
            </w:r>
          </w:p>
        </w:tc>
        <w:tc>
          <w:tcPr>
            <w:tcW w:w="2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r>
      <w:tr>
        <w:trPr>
          <w:trHeight w:val="232"/>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Jessie English, Ph.D.</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356"/>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Kristian Humer</w:t>
            </w:r>
          </w:p>
        </w:tc>
        <w:tc>
          <w:tcPr>
            <w:tcW w:w="2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r>
      <w:tr>
        <w:trPr>
          <w:trHeight w:val="232"/>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Kristian Humer</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647"/>
        </w:trPr>
        <w:tc>
          <w:tcPr>
            <w:tcW w:w="3620" w:type="dxa"/>
            <w:vAlign w:val="bottom"/>
          </w:tcPr>
          <w:p>
            <w:pPr>
              <w:spacing w:after="0"/>
              <w:rPr>
                <w:sz w:val="24"/>
                <w:szCs w:val="24"/>
                <w:color w:val="auto"/>
              </w:rPr>
            </w:pPr>
          </w:p>
        </w:tc>
        <w:tc>
          <w:tcPr>
            <w:tcW w:w="3820" w:type="dxa"/>
            <w:vAlign w:val="bottom"/>
            <w:gridSpan w:val="2"/>
          </w:tcPr>
          <w:p>
            <w:pPr>
              <w:jc w:val="right"/>
              <w:ind w:right="1372"/>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1201"/>
        </w:trPr>
        <w:tc>
          <w:tcPr>
            <w:tcW w:w="3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 w:name="page5"/>
    <w:bookmarkEnd w:id="4"/>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165860" cy="377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16586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Mark Ballantyne</w:t>
      </w:r>
    </w:p>
    <w:p>
      <w:pPr>
        <w:spacing w:after="0" w:line="14" w:lineRule="exact"/>
        <w:rPr>
          <w:sz w:val="20"/>
          <w:szCs w:val="20"/>
          <w:color w:val="auto"/>
        </w:rPr>
      </w:pPr>
    </w:p>
    <w:p>
      <w:pPr>
        <w:ind w:right="9180" w:firstLine="8"/>
        <w:spacing w:after="0" w:line="279" w:lineRule="auto"/>
        <w:tabs>
          <w:tab w:leader="none" w:pos="190" w:val="left"/>
        </w:tabs>
        <w:numPr>
          <w:ilvl w:val="0"/>
          <w:numId w:val="1"/>
        </w:numPr>
        <w:rPr>
          <w:rFonts w:ascii="Arial" w:cs="Arial" w:eastAsia="Arial" w:hAnsi="Arial"/>
          <w:sz w:val="17"/>
          <w:szCs w:val="17"/>
          <w:color w:val="auto"/>
        </w:rPr>
      </w:pPr>
      <w:r>
        <w:rPr>
          <w:rFonts w:ascii="Arial" w:cs="Arial" w:eastAsia="Arial" w:hAnsi="Arial"/>
          <w:sz w:val="17"/>
          <w:szCs w:val="17"/>
          <w:color w:val="auto"/>
        </w:rPr>
        <w:t>+1 703 456 8084 mballantyne@cooley.com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February 29, 2024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Sensei Biotherapeutics, Inc. 1405 Research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125</w:t>
      </w:r>
    </w:p>
    <w:p>
      <w:pPr>
        <w:spacing w:after="0" w:line="234" w:lineRule="auto"/>
        <w:rPr>
          <w:sz w:val="20"/>
          <w:szCs w:val="20"/>
          <w:color w:val="auto"/>
        </w:rPr>
      </w:pPr>
      <w:r>
        <w:rPr>
          <w:rFonts w:ascii="Arial" w:cs="Arial" w:eastAsia="Arial" w:hAnsi="Arial"/>
          <w:sz w:val="18"/>
          <w:szCs w:val="18"/>
          <w:color w:val="auto"/>
        </w:rPr>
        <w:t>Rockville, MD 20850</w:t>
      </w:r>
    </w:p>
    <w:p>
      <w:pPr>
        <w:spacing w:after="0" w:line="235" w:lineRule="auto"/>
        <w:rPr>
          <w:sz w:val="20"/>
          <w:szCs w:val="20"/>
          <w:color w:val="auto"/>
        </w:rPr>
      </w:pPr>
      <w:r>
        <w:rPr>
          <w:rFonts w:ascii="Arial" w:cs="Arial" w:eastAsia="Arial" w:hAnsi="Arial"/>
          <w:sz w:val="18"/>
          <w:szCs w:val="18"/>
          <w:color w:val="auto"/>
        </w:rPr>
        <w:t>Ladies and Gentlemen:</w:t>
      </w:r>
    </w:p>
    <w:p>
      <w:pPr>
        <w:spacing w:after="0" w:line="1" w:lineRule="exact"/>
        <w:rPr>
          <w:sz w:val="20"/>
          <w:szCs w:val="20"/>
          <w:color w:val="auto"/>
        </w:rPr>
      </w:pPr>
    </w:p>
    <w:p>
      <w:pPr>
        <w:jc w:val="both"/>
        <w:ind w:right="240"/>
        <w:spacing w:after="0" w:line="238" w:lineRule="auto"/>
        <w:rPr>
          <w:sz w:val="20"/>
          <w:szCs w:val="20"/>
          <w:color w:val="auto"/>
        </w:rPr>
      </w:pPr>
      <w:r>
        <w:rPr>
          <w:rFonts w:ascii="Arial" w:cs="Arial" w:eastAsia="Arial" w:hAnsi="Arial"/>
          <w:sz w:val="18"/>
          <w:szCs w:val="18"/>
          <w:color w:val="auto"/>
        </w:rPr>
        <w:t>We have acted as counsel to Sensei Biotherapeutics,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filing by the Company of a Registration Statement on Form S-8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covering the offering of (a) up to 750,904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the Company’s Common Stock, par value $0.0001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consisting of (i) 500,603 shares of the Company’s Common Stock issuable pursuant to the Company’s 2021 Equity Incentive Plan (the “</w:t>
      </w:r>
      <w:r>
        <w:rPr>
          <w:rFonts w:ascii="Arial" w:cs="Arial" w:eastAsia="Arial" w:hAnsi="Arial"/>
          <w:sz w:val="18"/>
          <w:szCs w:val="18"/>
          <w:b w:val="1"/>
          <w:bCs w:val="1"/>
          <w:i w:val="1"/>
          <w:iCs w:val="1"/>
          <w:color w:val="auto"/>
        </w:rPr>
        <w:t>2021 EIP</w:t>
      </w:r>
      <w:r>
        <w:rPr>
          <w:rFonts w:ascii="Arial" w:cs="Arial" w:eastAsia="Arial" w:hAnsi="Arial"/>
          <w:sz w:val="18"/>
          <w:szCs w:val="18"/>
          <w:color w:val="auto"/>
        </w:rPr>
        <w:t>”), and (ii) 250,301 shares of the Company’s Common Stock issuable pursuant to the Company’s 2021 Employee Stock Purchase Plan (together with the 2021 EIP, the “</w:t>
      </w:r>
      <w:r>
        <w:rPr>
          <w:rFonts w:ascii="Arial" w:cs="Arial" w:eastAsia="Arial" w:hAnsi="Arial"/>
          <w:sz w:val="18"/>
          <w:szCs w:val="18"/>
          <w:b w:val="1"/>
          <w:bCs w:val="1"/>
          <w:i w:val="1"/>
          <w:iCs w:val="1"/>
          <w:color w:val="auto"/>
        </w:rPr>
        <w:t>Plans</w:t>
      </w:r>
      <w:r>
        <w:rPr>
          <w:rFonts w:ascii="Arial" w:cs="Arial" w:eastAsia="Arial" w:hAnsi="Arial"/>
          <w:sz w:val="18"/>
          <w:szCs w:val="18"/>
          <w:color w:val="auto"/>
        </w:rPr>
        <w:t>”), and (b) the preferred stock purchase rights (the “</w:t>
      </w:r>
      <w:r>
        <w:rPr>
          <w:rFonts w:ascii="Arial" w:cs="Arial" w:eastAsia="Arial" w:hAnsi="Arial"/>
          <w:sz w:val="18"/>
          <w:szCs w:val="18"/>
          <w:b w:val="1"/>
          <w:bCs w:val="1"/>
          <w:i w:val="1"/>
          <w:iCs w:val="1"/>
          <w:color w:val="auto"/>
        </w:rPr>
        <w:t>Rights</w:t>
      </w:r>
      <w:r>
        <w:rPr>
          <w:rFonts w:ascii="Arial" w:cs="Arial" w:eastAsia="Arial" w:hAnsi="Arial"/>
          <w:sz w:val="18"/>
          <w:szCs w:val="18"/>
          <w:color w:val="auto"/>
        </w:rPr>
        <w:t>”) associated with the Shares as set forth in that certain Stockholder Rights Agreement, dated March 7, 2023 (as amended June 23, 2023, the “</w:t>
      </w:r>
      <w:r>
        <w:rPr>
          <w:rFonts w:ascii="Arial" w:cs="Arial" w:eastAsia="Arial" w:hAnsi="Arial"/>
          <w:sz w:val="18"/>
          <w:szCs w:val="18"/>
          <w:b w:val="1"/>
          <w:bCs w:val="1"/>
          <w:i w:val="1"/>
          <w:iCs w:val="1"/>
          <w:color w:val="auto"/>
        </w:rPr>
        <w:t>Rights Agreement</w:t>
      </w:r>
      <w:r>
        <w:rPr>
          <w:rFonts w:ascii="Arial" w:cs="Arial" w:eastAsia="Arial" w:hAnsi="Arial"/>
          <w:sz w:val="18"/>
          <w:szCs w:val="18"/>
          <w:color w:val="auto"/>
        </w:rPr>
        <w:t>”), between the Company and American Stock Transfer &amp; Trust Company, LLC, as rights agent (the “</w:t>
      </w:r>
      <w:r>
        <w:rPr>
          <w:rFonts w:ascii="Arial" w:cs="Arial" w:eastAsia="Arial" w:hAnsi="Arial"/>
          <w:sz w:val="18"/>
          <w:szCs w:val="18"/>
          <w:b w:val="1"/>
          <w:bCs w:val="1"/>
          <w:i w:val="1"/>
          <w:iCs w:val="1"/>
          <w:color w:val="auto"/>
        </w:rPr>
        <w:t>Rights Agent</w:t>
      </w:r>
      <w:r>
        <w:rPr>
          <w:rFonts w:ascii="Arial" w:cs="Arial" w:eastAsia="Arial" w:hAnsi="Arial"/>
          <w:sz w:val="18"/>
          <w:szCs w:val="18"/>
          <w:color w:val="auto"/>
        </w:rPr>
        <w:t>”).</w:t>
      </w:r>
    </w:p>
    <w:p>
      <w:pPr>
        <w:spacing w:after="0" w:line="160" w:lineRule="exact"/>
        <w:rPr>
          <w:sz w:val="20"/>
          <w:szCs w:val="20"/>
          <w:color w:val="auto"/>
        </w:rPr>
      </w:pPr>
    </w:p>
    <w:p>
      <w:pPr>
        <w:jc w:val="both"/>
        <w:ind w:right="240"/>
        <w:spacing w:after="0"/>
        <w:rPr>
          <w:sz w:val="20"/>
          <w:szCs w:val="20"/>
          <w:color w:val="auto"/>
        </w:rPr>
      </w:pPr>
      <w:r>
        <w:rPr>
          <w:rFonts w:ascii="Arial" w:cs="Arial" w:eastAsia="Arial" w:hAnsi="Arial"/>
          <w:sz w:val="18"/>
          <w:szCs w:val="18"/>
          <w:color w:val="auto"/>
        </w:rPr>
        <w:t>In connection with this opinion, we have examined and relied upon (a) the Registration Statement and the related prospectuses, (b) the Company’s certificate of incorporation and bylaws, each as currently in effect, (c) the Plans, (d) the Rights Agreement and (e) such other records, documents,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our opinion concerning the Rights:</w:t>
      </w:r>
    </w:p>
    <w:p>
      <w:pPr>
        <w:spacing w:after="0" w:line="212" w:lineRule="exact"/>
        <w:rPr>
          <w:sz w:val="20"/>
          <w:szCs w:val="20"/>
          <w:color w:val="auto"/>
        </w:rPr>
      </w:pPr>
    </w:p>
    <w:p>
      <w:pPr>
        <w:jc w:val="both"/>
        <w:ind w:firstLine="408"/>
        <w:spacing w:after="0" w:line="253"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opinion does not address the determination a court of competent jurisdiction may make regarding whether the Company’s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may be required to redeem or terminate, or take other action with respect to, the Rights or Rights Agreement in the future based on the facts and circumstances then existing.</w:t>
      </w:r>
    </w:p>
    <w:p>
      <w:pPr>
        <w:spacing w:after="0" w:line="155" w:lineRule="exact"/>
        <w:rPr>
          <w:rFonts w:ascii="Arial" w:cs="Arial" w:eastAsia="Arial" w:hAnsi="Arial"/>
          <w:sz w:val="18"/>
          <w:szCs w:val="18"/>
          <w:color w:val="auto"/>
        </w:rPr>
      </w:pPr>
    </w:p>
    <w:p>
      <w:pPr>
        <w:jc w:val="both"/>
        <w:ind w:firstLine="408"/>
        <w:spacing w:after="0" w:line="244"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opinion assumes that the Rights Agreement has been duly authorized, executed and delivered by the Rights Agent and that members of the Board have acted in a manner consistent with their fiduciary duties as required under applicable law in adopting the Rights Agreement. With respect to the Rights associated with the Shares to be offered in the future under the Registration Statement, our opinion assumes the Rights Agreement has not been terminated by the Company or expired by its terms and the Rights have not expired or been redeemed or exchanged by the Company, in each case, prior to the issuance of such Shares.</w:t>
      </w: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3"/>
          <w:szCs w:val="13"/>
          <w:color w:val="auto"/>
        </w:rPr>
        <w:t>Cooley LLP Reston Town Center 11951 Freedom Drive 14th Floor Reston, VA 20190-5656 t: +1 703 456 8000 f: +1 703 456 8100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382" w:lineRule="exact"/>
        <w:rPr>
          <w:sz w:val="20"/>
          <w:szCs w:val="20"/>
          <w:color w:val="auto"/>
        </w:rPr>
      </w:pPr>
    </w:p>
    <w:p>
      <w:pPr>
        <w:jc w:val="both"/>
        <w:ind w:firstLine="408"/>
        <w:spacing w:after="0" w:line="24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opinion addresses corporate procedures in connection with the issuance of the Rights associated with shares of Common Stock of the Company, and not any particular provision of the Rights or the Rights Agreement. It should be understood that it is not settled whether the invalidity of any particular provision of a rights agreement or purchase rights issued thereunder would invalidate such rights in their entirety.</w:t>
      </w:r>
    </w:p>
    <w:p>
      <w:pPr>
        <w:spacing w:after="0" w:line="160" w:lineRule="exact"/>
        <w:rPr>
          <w:sz w:val="20"/>
          <w:szCs w:val="20"/>
          <w:color w:val="auto"/>
        </w:rPr>
      </w:pPr>
    </w:p>
    <w:p>
      <w:pPr>
        <w:jc w:val="both"/>
        <w:ind w:right="240"/>
        <w:spacing w:after="0" w:line="253"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69" w:lineRule="exact"/>
        <w:rPr>
          <w:sz w:val="20"/>
          <w:szCs w:val="20"/>
          <w:color w:val="auto"/>
        </w:rPr>
      </w:pPr>
    </w:p>
    <w:p>
      <w:pPr>
        <w:jc w:val="both"/>
        <w:ind w:right="240"/>
        <w:spacing w:after="0" w:line="252" w:lineRule="auto"/>
        <w:rPr>
          <w:sz w:val="20"/>
          <w:szCs w:val="20"/>
          <w:color w:val="auto"/>
        </w:rPr>
      </w:pPr>
      <w:r>
        <w:rPr>
          <w:rFonts w:ascii="Arial" w:cs="Arial" w:eastAsia="Arial" w:hAnsi="Arial"/>
          <w:sz w:val="18"/>
          <w:szCs w:val="18"/>
          <w:color w:val="auto"/>
        </w:rPr>
        <w:t xml:space="preserve">On the basis of the foregoing, and in reliance thereon, and subject to the qualifications set forth herein, we are of the opinion that the Shares and the associated Rights, when sold and issued in accordance with the Plans, the Registration Statement and the related prospectuses, will be validly issued, and the Shares will be fully paid and nonassessable (except as to </w:t>
      </w:r>
      <w:r>
        <w:rPr>
          <w:rFonts w:ascii="Times New Roman" w:cs="Times New Roman" w:eastAsia="Times New Roman" w:hAnsi="Times New Roman"/>
          <w:sz w:val="18"/>
          <w:szCs w:val="18"/>
          <w:color w:val="auto"/>
        </w:rPr>
        <w:t>shares</w:t>
      </w:r>
      <w:r>
        <w:rPr>
          <w:rFonts w:ascii="Arial" w:cs="Arial" w:eastAsia="Arial" w:hAnsi="Arial"/>
          <w:sz w:val="18"/>
          <w:szCs w:val="18"/>
          <w:color w:val="auto"/>
        </w:rPr>
        <w:t xml:space="preserve"> issued pursuant to deferred payment arrangements, which will be fully paid and nonassessable when such deferred payments are made in full).</w:t>
      </w:r>
    </w:p>
    <w:p>
      <w:pPr>
        <w:spacing w:after="0" w:line="156" w:lineRule="exact"/>
        <w:rPr>
          <w:sz w:val="20"/>
          <w:szCs w:val="20"/>
          <w:color w:val="auto"/>
        </w:rPr>
      </w:pPr>
    </w:p>
    <w:p>
      <w:pPr>
        <w:jc w:val="both"/>
        <w:ind w:right="240"/>
        <w:spacing w:after="0" w:line="247" w:lineRule="auto"/>
        <w:rPr>
          <w:sz w:val="20"/>
          <w:szCs w:val="20"/>
          <w:color w:val="auto"/>
        </w:rPr>
      </w:pPr>
      <w:r>
        <w:rPr>
          <w:rFonts w:ascii="Arial" w:cs="Arial" w:eastAsia="Arial" w:hAnsi="Arial"/>
          <w:sz w:val="18"/>
          <w:szCs w:val="18"/>
          <w:color w:val="auto"/>
        </w:rPr>
        <w:t>This opinion is limited to the matters expressly set forth in this letter, and no opinion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w:t>
      </w:r>
    </w:p>
    <w:p>
      <w:pPr>
        <w:spacing w:after="0" w:line="160" w:lineRule="exact"/>
        <w:rPr>
          <w:sz w:val="20"/>
          <w:szCs w:val="20"/>
          <w:color w:val="auto"/>
        </w:rPr>
      </w:pPr>
    </w:p>
    <w:p>
      <w:pPr>
        <w:jc w:val="both"/>
        <w:ind w:right="240"/>
        <w:spacing w:after="0" w:line="253" w:lineRule="auto"/>
        <w:rPr>
          <w:sz w:val="20"/>
          <w:szCs w:val="20"/>
          <w:color w:val="auto"/>
        </w:rPr>
      </w:pPr>
      <w:r>
        <w:rPr>
          <w:rFonts w:ascii="Arial" w:cs="Arial" w:eastAsia="Arial" w:hAnsi="Arial"/>
          <w:sz w:val="18"/>
          <w:szCs w:val="18"/>
          <w:color w:val="auto"/>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By: /s/ Mark Ballantyne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-7620</wp:posOffset>
            </wp:positionV>
            <wp:extent cx="10725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072515" cy="825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Mark Ballantyne</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3"/>
          <w:szCs w:val="13"/>
          <w:color w:val="auto"/>
        </w:rPr>
        <w:t>Cooley LLP Reston Town Center 11951 Freedom Drive 14th Floor Reston, VA 20190-5656 t: +1 703 456 8000 f: +1 703 456 8100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23.2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 dated February 29, 2024 relating to the financial statements of Sensei Biotherapeutics, Inc., appearing in the Annual Report on Form 10-K of Sensei Biotherapeutics, Inc. for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Maryland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6"/>
          <w:szCs w:val="16"/>
          <w:color w:val="auto"/>
        </w:rPr>
        <w:t>Exhibit 107</w:t>
      </w:r>
    </w:p>
    <w:p>
      <w:pPr>
        <w:spacing w:after="0" w:line="2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Calculation of Filing Fee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Table</w:t>
      </w:r>
    </w:p>
    <w:p>
      <w:pPr>
        <w:spacing w:after="0" w:line="2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u w:val="single" w:color="auto"/>
          <w:color w:val="auto"/>
        </w:rPr>
        <w:t>Form</w:t>
      </w:r>
    </w:p>
    <w:p>
      <w:pPr>
        <w:spacing w:after="0" w:line="2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u w:val="single" w:color="auto"/>
          <w:color w:val="auto"/>
        </w:rPr>
        <w:t>S-8</w:t>
      </w:r>
    </w:p>
    <w:p>
      <w:pPr>
        <w:spacing w:after="0" w:line="1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(Form</w:t>
      </w:r>
    </w:p>
    <w:p>
      <w:pPr>
        <w:spacing w:after="0" w:line="1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6"/>
          <w:szCs w:val="16"/>
          <w:color w:val="auto"/>
        </w:rPr>
        <w:t>Type)</w:t>
      </w:r>
    </w:p>
    <w:p>
      <w:pPr>
        <w:spacing w:after="0" w:line="2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u w:val="single" w:color="auto"/>
          <w:color w:val="auto"/>
        </w:rPr>
        <w:t>Sensei Biotherapeutics,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7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Table 1: Newly</w:t>
      </w:r>
    </w:p>
    <w:p>
      <w:pPr>
        <w:spacing w:after="0" w:line="2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color w:val="auto"/>
        </w:rPr>
        <w:t>Registered</w:t>
      </w:r>
    </w:p>
    <w:p>
      <w:pPr>
        <w:spacing w:after="0" w:line="19" w:lineRule="exact"/>
        <w:rPr>
          <w:sz w:val="20"/>
          <w:szCs w:val="20"/>
          <w:color w:val="auto"/>
        </w:rPr>
      </w:pPr>
    </w:p>
    <w:tbl>
      <w:tblPr>
        <w:tblLayout w:type="fixed"/>
        <w:tblInd w:w="610" w:type="dxa"/>
        <w:tblCellMar>
          <w:top w:w="0" w:type="dxa"/>
          <w:left w:w="0" w:type="dxa"/>
          <w:bottom w:w="0" w:type="dxa"/>
          <w:right w:w="0" w:type="dxa"/>
        </w:tblCellMar>
      </w:tblPr>
      <w:tr>
        <w:trPr>
          <w:trHeight w:val="121"/>
        </w:trPr>
        <w:tc>
          <w:tcPr>
            <w:tcW w:w="740" w:type="dxa"/>
            <w:vAlign w:val="bottom"/>
            <w:tcBorders>
              <w:top w:val="single" w:sz="8" w:color="auto"/>
              <w:left w:val="single" w:sz="8" w:color="auto"/>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1"/>
                <w:szCs w:val="11"/>
                <w:color w:val="auto"/>
                <w:w w:val="98"/>
              </w:rPr>
              <w:t>Security</w:t>
            </w:r>
          </w:p>
        </w:tc>
        <w:tc>
          <w:tcPr>
            <w:tcW w:w="2500" w:type="dxa"/>
            <w:vAlign w:val="bottom"/>
            <w:tcBorders>
              <w:top w:val="single" w:sz="8" w:color="auto"/>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1"/>
                <w:szCs w:val="11"/>
                <w:color w:val="auto"/>
                <w:w w:val="96"/>
              </w:rPr>
              <w:t>Security Class Title</w:t>
            </w:r>
          </w:p>
        </w:tc>
        <w:tc>
          <w:tcPr>
            <w:tcW w:w="940" w:type="dxa"/>
            <w:vAlign w:val="bottom"/>
            <w:tcBorders>
              <w:top w:val="single" w:sz="8" w:color="auto"/>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1"/>
                <w:szCs w:val="11"/>
                <w:color w:val="auto"/>
                <w:w w:val="97"/>
              </w:rPr>
              <w:t>Fee Calculation</w:t>
            </w:r>
          </w:p>
        </w:tc>
        <w:tc>
          <w:tcPr>
            <w:tcW w:w="1120" w:type="dxa"/>
            <w:vAlign w:val="bottom"/>
            <w:tcBorders>
              <w:top w:val="single" w:sz="8" w:color="auto"/>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1"/>
                <w:szCs w:val="11"/>
                <w:color w:val="auto"/>
                <w:w w:val="99"/>
              </w:rPr>
              <w:t>Amount</w:t>
            </w:r>
          </w:p>
        </w:tc>
        <w:tc>
          <w:tcPr>
            <w:tcW w:w="1120" w:type="dxa"/>
            <w:vAlign w:val="bottom"/>
            <w:tcBorders>
              <w:top w:val="single" w:sz="8" w:color="auto"/>
              <w:right w:val="single" w:sz="8" w:color="auto"/>
            </w:tcBorders>
          </w:tcPr>
          <w:p>
            <w:pPr>
              <w:jc w:val="center"/>
              <w:ind w:right="15"/>
              <w:spacing w:after="0" w:line="121" w:lineRule="exact"/>
              <w:rPr>
                <w:sz w:val="20"/>
                <w:szCs w:val="20"/>
                <w:color w:val="auto"/>
              </w:rPr>
            </w:pPr>
            <w:r>
              <w:rPr>
                <w:rFonts w:ascii="Times New Roman" w:cs="Times New Roman" w:eastAsia="Times New Roman" w:hAnsi="Times New Roman"/>
                <w:sz w:val="11"/>
                <w:szCs w:val="11"/>
                <w:color w:val="auto"/>
                <w:w w:val="97"/>
              </w:rPr>
              <w:t>Proposed</w:t>
            </w:r>
          </w:p>
        </w:tc>
        <w:tc>
          <w:tcPr>
            <w:tcW w:w="1180" w:type="dxa"/>
            <w:vAlign w:val="bottom"/>
            <w:tcBorders>
              <w:top w:val="single" w:sz="8" w:color="auto"/>
              <w:right w:val="single" w:sz="8" w:color="auto"/>
            </w:tcBorders>
          </w:tcPr>
          <w:p>
            <w:pPr>
              <w:jc w:val="center"/>
              <w:ind w:right="30"/>
              <w:spacing w:after="0" w:line="121" w:lineRule="exact"/>
              <w:rPr>
                <w:sz w:val="20"/>
                <w:szCs w:val="20"/>
                <w:color w:val="auto"/>
              </w:rPr>
            </w:pPr>
            <w:r>
              <w:rPr>
                <w:rFonts w:ascii="Times New Roman" w:cs="Times New Roman" w:eastAsia="Times New Roman" w:hAnsi="Times New Roman"/>
                <w:sz w:val="11"/>
                <w:szCs w:val="11"/>
                <w:color w:val="auto"/>
                <w:w w:val="97"/>
              </w:rPr>
              <w:t>Maximum Aggregate</w:t>
            </w:r>
          </w:p>
        </w:tc>
        <w:tc>
          <w:tcPr>
            <w:tcW w:w="1240" w:type="dxa"/>
            <w:vAlign w:val="bottom"/>
            <w:tcBorders>
              <w:top w:val="single" w:sz="8" w:color="auto"/>
              <w:right w:val="single" w:sz="8" w:color="auto"/>
            </w:tcBorders>
          </w:tcPr>
          <w:p>
            <w:pPr>
              <w:spacing w:after="0"/>
              <w:rPr>
                <w:sz w:val="10"/>
                <w:szCs w:val="10"/>
                <w:color w:val="auto"/>
              </w:rPr>
            </w:pPr>
          </w:p>
        </w:tc>
        <w:tc>
          <w:tcPr>
            <w:tcW w:w="1060" w:type="dxa"/>
            <w:vAlign w:val="bottom"/>
            <w:tcBorders>
              <w:top w:val="single" w:sz="8" w:color="auto"/>
              <w:right w:val="single" w:sz="8" w:color="auto"/>
            </w:tcBorders>
          </w:tcPr>
          <w:p>
            <w:pPr>
              <w:ind w:left="260"/>
              <w:spacing w:after="0" w:line="121" w:lineRule="exact"/>
              <w:rPr>
                <w:sz w:val="20"/>
                <w:szCs w:val="20"/>
                <w:color w:val="auto"/>
              </w:rPr>
            </w:pPr>
            <w:r>
              <w:rPr>
                <w:rFonts w:ascii="Times New Roman" w:cs="Times New Roman" w:eastAsia="Times New Roman" w:hAnsi="Times New Roman"/>
                <w:sz w:val="11"/>
                <w:szCs w:val="11"/>
                <w:color w:val="auto"/>
              </w:rPr>
              <w:t>Amount of</w:t>
            </w:r>
          </w:p>
        </w:tc>
      </w:tr>
      <w:tr>
        <w:trPr>
          <w:trHeight w:val="122"/>
        </w:trPr>
        <w:tc>
          <w:tcPr>
            <w:tcW w:w="740" w:type="dxa"/>
            <w:vAlign w:val="bottom"/>
            <w:tcBorders>
              <w:left w:val="single" w:sz="8" w:color="auto"/>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88"/>
              </w:rPr>
              <w:t>Type</w:t>
            </w:r>
          </w:p>
        </w:tc>
        <w:tc>
          <w:tcPr>
            <w:tcW w:w="25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Rule</w:t>
            </w:r>
          </w:p>
        </w:tc>
        <w:tc>
          <w:tcPr>
            <w:tcW w:w="112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rPr>
              <w:t>Registered(1)</w:t>
            </w:r>
          </w:p>
        </w:tc>
        <w:tc>
          <w:tcPr>
            <w:tcW w:w="1120" w:type="dxa"/>
            <w:vAlign w:val="bottom"/>
            <w:tcBorders>
              <w:right w:val="single" w:sz="8" w:color="auto"/>
            </w:tcBorders>
          </w:tcPr>
          <w:p>
            <w:pPr>
              <w:jc w:val="center"/>
              <w:ind w:right="35"/>
              <w:spacing w:after="0" w:line="122" w:lineRule="exact"/>
              <w:rPr>
                <w:sz w:val="20"/>
                <w:szCs w:val="20"/>
                <w:color w:val="auto"/>
              </w:rPr>
            </w:pPr>
            <w:r>
              <w:rPr>
                <w:rFonts w:ascii="Times New Roman" w:cs="Times New Roman" w:eastAsia="Times New Roman" w:hAnsi="Times New Roman"/>
                <w:sz w:val="11"/>
                <w:szCs w:val="11"/>
                <w:color w:val="auto"/>
                <w:w w:val="99"/>
              </w:rPr>
              <w:t>Maximum Offering</w:t>
            </w:r>
          </w:p>
        </w:tc>
        <w:tc>
          <w:tcPr>
            <w:tcW w:w="1180" w:type="dxa"/>
            <w:vAlign w:val="bottom"/>
            <w:tcBorders>
              <w:right w:val="single" w:sz="8" w:color="auto"/>
            </w:tcBorders>
          </w:tcPr>
          <w:p>
            <w:pPr>
              <w:jc w:val="center"/>
              <w:ind w:right="10"/>
              <w:spacing w:after="0" w:line="122" w:lineRule="exact"/>
              <w:rPr>
                <w:sz w:val="20"/>
                <w:szCs w:val="20"/>
                <w:color w:val="auto"/>
              </w:rPr>
            </w:pPr>
            <w:r>
              <w:rPr>
                <w:rFonts w:ascii="Times New Roman" w:cs="Times New Roman" w:eastAsia="Times New Roman" w:hAnsi="Times New Roman"/>
                <w:sz w:val="11"/>
                <w:szCs w:val="11"/>
                <w:color w:val="auto"/>
                <w:w w:val="97"/>
              </w:rPr>
              <w:t>Offering Price</w:t>
            </w:r>
          </w:p>
        </w:tc>
        <w:tc>
          <w:tcPr>
            <w:tcW w:w="1240" w:type="dxa"/>
            <w:vAlign w:val="bottom"/>
            <w:tcBorders>
              <w:right w:val="single" w:sz="8" w:color="auto"/>
            </w:tcBorders>
          </w:tcPr>
          <w:p>
            <w:pPr>
              <w:jc w:val="right"/>
              <w:ind w:right="368"/>
              <w:spacing w:after="0" w:line="122" w:lineRule="exact"/>
              <w:rPr>
                <w:sz w:val="20"/>
                <w:szCs w:val="20"/>
                <w:color w:val="auto"/>
              </w:rPr>
            </w:pPr>
            <w:r>
              <w:rPr>
                <w:rFonts w:ascii="Times New Roman" w:cs="Times New Roman" w:eastAsia="Times New Roman" w:hAnsi="Times New Roman"/>
                <w:sz w:val="11"/>
                <w:szCs w:val="11"/>
                <w:color w:val="auto"/>
              </w:rPr>
              <w:t>Fee Rate</w:t>
            </w:r>
          </w:p>
        </w:tc>
        <w:tc>
          <w:tcPr>
            <w:tcW w:w="1060" w:type="dxa"/>
            <w:vAlign w:val="bottom"/>
            <w:tcBorders>
              <w:right w:val="single" w:sz="8" w:color="auto"/>
            </w:tcBorders>
          </w:tcPr>
          <w:p>
            <w:pPr>
              <w:ind w:left="160"/>
              <w:spacing w:after="0" w:line="122" w:lineRule="exact"/>
              <w:rPr>
                <w:sz w:val="20"/>
                <w:szCs w:val="20"/>
                <w:color w:val="auto"/>
              </w:rPr>
            </w:pPr>
            <w:r>
              <w:rPr>
                <w:rFonts w:ascii="Times New Roman" w:cs="Times New Roman" w:eastAsia="Times New Roman" w:hAnsi="Times New Roman"/>
                <w:sz w:val="11"/>
                <w:szCs w:val="11"/>
                <w:color w:val="auto"/>
              </w:rPr>
              <w:t>Registration Fee</w:t>
            </w:r>
          </w:p>
        </w:tc>
      </w:tr>
      <w:tr>
        <w:trPr>
          <w:trHeight w:val="176"/>
        </w:trPr>
        <w:tc>
          <w:tcPr>
            <w:tcW w:w="740" w:type="dxa"/>
            <w:vAlign w:val="bottom"/>
            <w:tcBorders>
              <w:left w:val="single" w:sz="8" w:color="auto"/>
              <w:bottom w:val="single" w:sz="8" w:color="auto"/>
              <w:right w:val="single" w:sz="8" w:color="auto"/>
            </w:tcBorders>
          </w:tcPr>
          <w:p>
            <w:pPr>
              <w:spacing w:after="0"/>
              <w:rPr>
                <w:sz w:val="15"/>
                <w:szCs w:val="15"/>
                <w:color w:val="auto"/>
              </w:rPr>
            </w:pPr>
          </w:p>
        </w:tc>
        <w:tc>
          <w:tcPr>
            <w:tcW w:w="250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center"/>
              <w:ind w:right="35"/>
              <w:spacing w:after="0"/>
              <w:rPr>
                <w:sz w:val="20"/>
                <w:szCs w:val="20"/>
                <w:color w:val="auto"/>
              </w:rPr>
            </w:pPr>
            <w:r>
              <w:rPr>
                <w:rFonts w:ascii="Times New Roman" w:cs="Times New Roman" w:eastAsia="Times New Roman" w:hAnsi="Times New Roman"/>
                <w:sz w:val="11"/>
                <w:szCs w:val="11"/>
                <w:color w:val="auto"/>
                <w:w w:val="97"/>
              </w:rPr>
              <w:t>Price Per Share</w:t>
            </w:r>
          </w:p>
        </w:tc>
        <w:tc>
          <w:tcPr>
            <w:tcW w:w="11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r>
      <w:tr>
        <w:trPr>
          <w:trHeight w:val="182"/>
        </w:trPr>
        <w:tc>
          <w:tcPr>
            <w:tcW w:w="74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Equity</w:t>
            </w:r>
          </w:p>
        </w:tc>
        <w:tc>
          <w:tcPr>
            <w:tcW w:w="250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Common Stock, par value</w:t>
            </w:r>
          </w:p>
        </w:tc>
        <w:tc>
          <w:tcPr>
            <w:tcW w:w="9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Other(3)</w:t>
            </w:r>
          </w:p>
        </w:tc>
        <w:tc>
          <w:tcPr>
            <w:tcW w:w="1120" w:type="dxa"/>
            <w:vAlign w:val="bottom"/>
            <w:tcBorders>
              <w:right w:val="single" w:sz="8" w:color="auto"/>
            </w:tcBorders>
          </w:tcPr>
          <w:p>
            <w:pPr>
              <w:jc w:val="right"/>
              <w:ind w:right="133"/>
              <w:spacing w:after="0" w:line="182" w:lineRule="exact"/>
              <w:rPr>
                <w:sz w:val="20"/>
                <w:szCs w:val="20"/>
                <w:color w:val="auto"/>
              </w:rPr>
            </w:pPr>
            <w:r>
              <w:rPr>
                <w:rFonts w:ascii="Times New Roman" w:cs="Times New Roman" w:eastAsia="Times New Roman" w:hAnsi="Times New Roman"/>
                <w:sz w:val="16"/>
                <w:szCs w:val="16"/>
                <w:color w:val="auto"/>
              </w:rPr>
              <w:t>500,603 (3)</w:t>
            </w:r>
          </w:p>
        </w:tc>
        <w:tc>
          <w:tcPr>
            <w:tcW w:w="1120" w:type="dxa"/>
            <w:vAlign w:val="bottom"/>
            <w:tcBorders>
              <w:right w:val="single" w:sz="8" w:color="auto"/>
            </w:tcBorders>
          </w:tcPr>
          <w:p>
            <w:pPr>
              <w:jc w:val="center"/>
              <w:ind w:right="15"/>
              <w:spacing w:after="0" w:line="182" w:lineRule="exact"/>
              <w:rPr>
                <w:sz w:val="20"/>
                <w:szCs w:val="20"/>
                <w:color w:val="auto"/>
              </w:rPr>
            </w:pPr>
            <w:r>
              <w:rPr>
                <w:rFonts w:ascii="Times New Roman" w:cs="Times New Roman" w:eastAsia="Times New Roman" w:hAnsi="Times New Roman"/>
                <w:sz w:val="16"/>
                <w:szCs w:val="16"/>
                <w:color w:val="auto"/>
              </w:rPr>
              <w:t>$0.775(5)</w:t>
            </w:r>
          </w:p>
        </w:tc>
        <w:tc>
          <w:tcPr>
            <w:tcW w:w="1180" w:type="dxa"/>
            <w:vAlign w:val="bottom"/>
            <w:tcBorders>
              <w:right w:val="single" w:sz="8" w:color="auto"/>
            </w:tcBorders>
          </w:tcPr>
          <w:p>
            <w:pPr>
              <w:jc w:val="center"/>
              <w:ind w:right="10"/>
              <w:spacing w:after="0" w:line="182" w:lineRule="exact"/>
              <w:rPr>
                <w:sz w:val="20"/>
                <w:szCs w:val="20"/>
                <w:color w:val="auto"/>
              </w:rPr>
            </w:pPr>
            <w:r>
              <w:rPr>
                <w:rFonts w:ascii="Times New Roman" w:cs="Times New Roman" w:eastAsia="Times New Roman" w:hAnsi="Times New Roman"/>
                <w:sz w:val="16"/>
                <w:szCs w:val="16"/>
                <w:color w:val="auto"/>
              </w:rPr>
              <w:t>$387,967.33</w:t>
            </w:r>
          </w:p>
        </w:tc>
        <w:tc>
          <w:tcPr>
            <w:tcW w:w="1240" w:type="dxa"/>
            <w:vAlign w:val="bottom"/>
            <w:tcBorders>
              <w:right w:val="single" w:sz="8" w:color="auto"/>
            </w:tcBorders>
          </w:tcPr>
          <w:p>
            <w:pPr>
              <w:jc w:val="right"/>
              <w:ind w:right="208"/>
              <w:spacing w:after="0" w:line="182" w:lineRule="exact"/>
              <w:rPr>
                <w:sz w:val="20"/>
                <w:szCs w:val="20"/>
                <w:color w:val="auto"/>
              </w:rPr>
            </w:pPr>
            <w:r>
              <w:rPr>
                <w:rFonts w:ascii="Times New Roman" w:cs="Times New Roman" w:eastAsia="Times New Roman" w:hAnsi="Times New Roman"/>
                <w:sz w:val="16"/>
                <w:szCs w:val="16"/>
                <w:color w:val="auto"/>
              </w:rPr>
              <w:t>$0.0001476</w:t>
            </w:r>
          </w:p>
        </w:tc>
        <w:tc>
          <w:tcPr>
            <w:tcW w:w="1060" w:type="dxa"/>
            <w:vAlign w:val="bottom"/>
            <w:tcBorders>
              <w:right w:val="single" w:sz="8" w:color="auto"/>
            </w:tcBorders>
          </w:tcPr>
          <w:p>
            <w:pPr>
              <w:ind w:left="260"/>
              <w:spacing w:after="0" w:line="182" w:lineRule="exact"/>
              <w:rPr>
                <w:sz w:val="20"/>
                <w:szCs w:val="20"/>
                <w:color w:val="auto"/>
              </w:rPr>
            </w:pPr>
            <w:r>
              <w:rPr>
                <w:rFonts w:ascii="Times New Roman" w:cs="Times New Roman" w:eastAsia="Times New Roman" w:hAnsi="Times New Roman"/>
                <w:sz w:val="16"/>
                <w:szCs w:val="16"/>
                <w:color w:val="auto"/>
              </w:rPr>
              <w:t>$57.26</w:t>
            </w:r>
          </w:p>
        </w:tc>
      </w:tr>
      <w:tr>
        <w:trPr>
          <w:trHeight w:val="203"/>
        </w:trPr>
        <w:tc>
          <w:tcPr>
            <w:tcW w:w="740" w:type="dxa"/>
            <w:vAlign w:val="bottom"/>
            <w:tcBorders>
              <w:left w:val="single" w:sz="8" w:color="auto"/>
              <w:right w:val="single" w:sz="8" w:color="auto"/>
            </w:tcBorders>
          </w:tcPr>
          <w:p>
            <w:pPr>
              <w:spacing w:after="0"/>
              <w:rPr>
                <w:sz w:val="17"/>
                <w:szCs w:val="17"/>
                <w:color w:val="auto"/>
              </w:rPr>
            </w:pP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$0.0001 per share, Sensei</w:t>
            </w:r>
          </w:p>
        </w:tc>
        <w:tc>
          <w:tcPr>
            <w:tcW w:w="9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r>
      <w:tr>
        <w:trPr>
          <w:trHeight w:val="203"/>
        </w:trPr>
        <w:tc>
          <w:tcPr>
            <w:tcW w:w="740" w:type="dxa"/>
            <w:vAlign w:val="bottom"/>
            <w:tcBorders>
              <w:left w:val="single" w:sz="8" w:color="auto"/>
              <w:right w:val="single" w:sz="8" w:color="auto"/>
            </w:tcBorders>
          </w:tcPr>
          <w:p>
            <w:pPr>
              <w:spacing w:after="0"/>
              <w:rPr>
                <w:sz w:val="17"/>
                <w:szCs w:val="17"/>
                <w:color w:val="auto"/>
              </w:rPr>
            </w:pP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Biotherapeutics, Inc. 2021</w:t>
            </w:r>
          </w:p>
        </w:tc>
        <w:tc>
          <w:tcPr>
            <w:tcW w:w="9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r>
      <w:tr>
        <w:trPr>
          <w:trHeight w:val="243"/>
        </w:trPr>
        <w:tc>
          <w:tcPr>
            <w:tcW w:w="740" w:type="dxa"/>
            <w:vAlign w:val="bottom"/>
            <w:tcBorders>
              <w:left w:val="single" w:sz="8" w:color="auto"/>
              <w:bottom w:val="single" w:sz="8" w:color="auto"/>
              <w:right w:val="single" w:sz="8" w:color="auto"/>
            </w:tcBorders>
          </w:tcPr>
          <w:p>
            <w:pPr>
              <w:spacing w:after="0"/>
              <w:rPr>
                <w:sz w:val="21"/>
                <w:szCs w:val="21"/>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Equity Incentive Plan</w:t>
            </w:r>
          </w:p>
        </w:tc>
        <w:tc>
          <w:tcPr>
            <w:tcW w:w="94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spacing w:after="0"/>
              <w:rPr>
                <w:sz w:val="21"/>
                <w:szCs w:val="21"/>
                <w:color w:val="auto"/>
              </w:rPr>
            </w:pPr>
          </w:p>
        </w:tc>
      </w:tr>
      <w:tr>
        <w:trPr>
          <w:trHeight w:val="182"/>
        </w:trPr>
        <w:tc>
          <w:tcPr>
            <w:tcW w:w="74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Equity</w:t>
            </w:r>
          </w:p>
        </w:tc>
        <w:tc>
          <w:tcPr>
            <w:tcW w:w="250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Common Stock, par value</w:t>
            </w:r>
          </w:p>
        </w:tc>
        <w:tc>
          <w:tcPr>
            <w:tcW w:w="9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Other(4)</w:t>
            </w:r>
          </w:p>
        </w:tc>
        <w:tc>
          <w:tcPr>
            <w:tcW w:w="1120" w:type="dxa"/>
            <w:vAlign w:val="bottom"/>
            <w:tcBorders>
              <w:right w:val="single" w:sz="8" w:color="auto"/>
            </w:tcBorders>
          </w:tcPr>
          <w:p>
            <w:pPr>
              <w:jc w:val="right"/>
              <w:ind w:right="133"/>
              <w:spacing w:after="0" w:line="182" w:lineRule="exact"/>
              <w:rPr>
                <w:sz w:val="20"/>
                <w:szCs w:val="20"/>
                <w:color w:val="auto"/>
              </w:rPr>
            </w:pPr>
            <w:r>
              <w:rPr>
                <w:rFonts w:ascii="Times New Roman" w:cs="Times New Roman" w:eastAsia="Times New Roman" w:hAnsi="Times New Roman"/>
                <w:sz w:val="16"/>
                <w:szCs w:val="16"/>
                <w:color w:val="auto"/>
              </w:rPr>
              <w:t>250,301 (4)</w:t>
            </w:r>
          </w:p>
        </w:tc>
        <w:tc>
          <w:tcPr>
            <w:tcW w:w="1120" w:type="dxa"/>
            <w:vAlign w:val="bottom"/>
            <w:tcBorders>
              <w:right w:val="single" w:sz="8" w:color="auto"/>
            </w:tcBorders>
          </w:tcPr>
          <w:p>
            <w:pPr>
              <w:jc w:val="center"/>
              <w:ind w:right="15"/>
              <w:spacing w:after="0" w:line="182" w:lineRule="exact"/>
              <w:rPr>
                <w:sz w:val="20"/>
                <w:szCs w:val="20"/>
                <w:color w:val="auto"/>
              </w:rPr>
            </w:pPr>
            <w:r>
              <w:rPr>
                <w:rFonts w:ascii="Times New Roman" w:cs="Times New Roman" w:eastAsia="Times New Roman" w:hAnsi="Times New Roman"/>
                <w:sz w:val="16"/>
                <w:szCs w:val="16"/>
                <w:color w:val="auto"/>
              </w:rPr>
              <w:t>$0.775(5)</w:t>
            </w:r>
          </w:p>
        </w:tc>
        <w:tc>
          <w:tcPr>
            <w:tcW w:w="1180" w:type="dxa"/>
            <w:vAlign w:val="bottom"/>
            <w:tcBorders>
              <w:right w:val="single" w:sz="8" w:color="auto"/>
            </w:tcBorders>
          </w:tcPr>
          <w:p>
            <w:pPr>
              <w:jc w:val="center"/>
              <w:ind w:right="10"/>
              <w:spacing w:after="0" w:line="182" w:lineRule="exact"/>
              <w:rPr>
                <w:sz w:val="20"/>
                <w:szCs w:val="20"/>
                <w:color w:val="auto"/>
              </w:rPr>
            </w:pPr>
            <w:r>
              <w:rPr>
                <w:rFonts w:ascii="Times New Roman" w:cs="Times New Roman" w:eastAsia="Times New Roman" w:hAnsi="Times New Roman"/>
                <w:sz w:val="16"/>
                <w:szCs w:val="16"/>
                <w:color w:val="auto"/>
              </w:rPr>
              <w:t>$193,983.28</w:t>
            </w:r>
          </w:p>
        </w:tc>
        <w:tc>
          <w:tcPr>
            <w:tcW w:w="1240" w:type="dxa"/>
            <w:vAlign w:val="bottom"/>
            <w:tcBorders>
              <w:right w:val="single" w:sz="8" w:color="auto"/>
            </w:tcBorders>
          </w:tcPr>
          <w:p>
            <w:pPr>
              <w:jc w:val="right"/>
              <w:ind w:right="208"/>
              <w:spacing w:after="0" w:line="182" w:lineRule="exact"/>
              <w:rPr>
                <w:sz w:val="20"/>
                <w:szCs w:val="20"/>
                <w:color w:val="auto"/>
              </w:rPr>
            </w:pPr>
            <w:r>
              <w:rPr>
                <w:rFonts w:ascii="Times New Roman" w:cs="Times New Roman" w:eastAsia="Times New Roman" w:hAnsi="Times New Roman"/>
                <w:sz w:val="16"/>
                <w:szCs w:val="16"/>
                <w:color w:val="auto"/>
              </w:rPr>
              <w:t>$0.0001476</w:t>
            </w:r>
          </w:p>
        </w:tc>
        <w:tc>
          <w:tcPr>
            <w:tcW w:w="1060" w:type="dxa"/>
            <w:vAlign w:val="bottom"/>
            <w:tcBorders>
              <w:right w:val="single" w:sz="8" w:color="auto"/>
            </w:tcBorders>
          </w:tcPr>
          <w:p>
            <w:pPr>
              <w:ind w:left="260"/>
              <w:spacing w:after="0" w:line="182" w:lineRule="exact"/>
              <w:rPr>
                <w:sz w:val="20"/>
                <w:szCs w:val="20"/>
                <w:color w:val="auto"/>
              </w:rPr>
            </w:pPr>
            <w:r>
              <w:rPr>
                <w:rFonts w:ascii="Times New Roman" w:cs="Times New Roman" w:eastAsia="Times New Roman" w:hAnsi="Times New Roman"/>
                <w:sz w:val="16"/>
                <w:szCs w:val="16"/>
                <w:color w:val="auto"/>
              </w:rPr>
              <w:t>$28.63</w:t>
            </w:r>
          </w:p>
        </w:tc>
      </w:tr>
      <w:tr>
        <w:trPr>
          <w:trHeight w:val="203"/>
        </w:trPr>
        <w:tc>
          <w:tcPr>
            <w:tcW w:w="740" w:type="dxa"/>
            <w:vAlign w:val="bottom"/>
            <w:tcBorders>
              <w:left w:val="single" w:sz="8" w:color="auto"/>
              <w:right w:val="single" w:sz="8" w:color="auto"/>
            </w:tcBorders>
          </w:tcPr>
          <w:p>
            <w:pPr>
              <w:spacing w:after="0"/>
              <w:rPr>
                <w:sz w:val="17"/>
                <w:szCs w:val="17"/>
                <w:color w:val="auto"/>
              </w:rPr>
            </w:pP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$0.0001 per share, Sensei</w:t>
            </w:r>
          </w:p>
        </w:tc>
        <w:tc>
          <w:tcPr>
            <w:tcW w:w="9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r>
      <w:tr>
        <w:trPr>
          <w:trHeight w:val="203"/>
        </w:trPr>
        <w:tc>
          <w:tcPr>
            <w:tcW w:w="740" w:type="dxa"/>
            <w:vAlign w:val="bottom"/>
            <w:tcBorders>
              <w:left w:val="single" w:sz="8" w:color="auto"/>
              <w:right w:val="single" w:sz="8" w:color="auto"/>
            </w:tcBorders>
          </w:tcPr>
          <w:p>
            <w:pPr>
              <w:spacing w:after="0"/>
              <w:rPr>
                <w:sz w:val="17"/>
                <w:szCs w:val="17"/>
                <w:color w:val="auto"/>
              </w:rPr>
            </w:pP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Biotherapeutics, Inc. 2021</w:t>
            </w:r>
          </w:p>
        </w:tc>
        <w:tc>
          <w:tcPr>
            <w:tcW w:w="9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r>
      <w:tr>
        <w:trPr>
          <w:trHeight w:val="210"/>
        </w:trPr>
        <w:tc>
          <w:tcPr>
            <w:tcW w:w="740" w:type="dxa"/>
            <w:vAlign w:val="bottom"/>
            <w:tcBorders>
              <w:left w:val="single" w:sz="8" w:color="auto"/>
              <w:right w:val="single" w:sz="8" w:color="auto"/>
            </w:tcBorders>
          </w:tcPr>
          <w:p>
            <w:pPr>
              <w:spacing w:after="0"/>
              <w:rPr>
                <w:sz w:val="18"/>
                <w:szCs w:val="18"/>
                <w:color w:val="auto"/>
              </w:rPr>
            </w:pP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Employee Share Purchase Plan</w:t>
            </w:r>
          </w:p>
        </w:tc>
        <w:tc>
          <w:tcPr>
            <w:tcW w:w="9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50"/>
        </w:trPr>
        <w:tc>
          <w:tcPr>
            <w:tcW w:w="740" w:type="dxa"/>
            <w:vAlign w:val="bottom"/>
            <w:tcBorders>
              <w:left w:val="single" w:sz="8" w:color="auto"/>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r>
      <w:tr>
        <w:trPr>
          <w:trHeight w:val="187"/>
        </w:trPr>
        <w:tc>
          <w:tcPr>
            <w:tcW w:w="740" w:type="dxa"/>
            <w:vAlign w:val="bottom"/>
            <w:tcBorders>
              <w:left w:val="single" w:sz="8" w:color="auto"/>
            </w:tcBorders>
          </w:tcPr>
          <w:p>
            <w:pPr>
              <w:spacing w:after="0"/>
              <w:rPr>
                <w:sz w:val="16"/>
                <w:szCs w:val="16"/>
                <w:color w:val="auto"/>
              </w:rPr>
            </w:pPr>
          </w:p>
        </w:tc>
        <w:tc>
          <w:tcPr>
            <w:tcW w:w="3440" w:type="dxa"/>
            <w:vAlign w:val="bottom"/>
            <w:gridSpan w:val="2"/>
          </w:tcPr>
          <w:p>
            <w:pPr>
              <w:jc w:val="center"/>
              <w:ind w:left="301"/>
              <w:spacing w:after="0"/>
              <w:rPr>
                <w:sz w:val="20"/>
                <w:szCs w:val="20"/>
                <w:color w:val="auto"/>
              </w:rPr>
            </w:pPr>
            <w:r>
              <w:rPr>
                <w:rFonts w:ascii="Times New Roman" w:cs="Times New Roman" w:eastAsia="Times New Roman" w:hAnsi="Times New Roman"/>
                <w:sz w:val="16"/>
                <w:szCs w:val="16"/>
                <w:color w:val="auto"/>
              </w:rPr>
              <w:t>Total Offering Amount</w:t>
            </w:r>
          </w:p>
        </w:tc>
        <w:tc>
          <w:tcPr>
            <w:tcW w:w="112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6"/>
                <w:szCs w:val="16"/>
                <w:color w:val="auto"/>
                <w:w w:val="99"/>
              </w:rPr>
              <w:t>$581,950.61</w:t>
            </w:r>
          </w:p>
        </w:tc>
        <w:tc>
          <w:tcPr>
            <w:tcW w:w="124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w:t>
            </w:r>
          </w:p>
        </w:tc>
      </w:tr>
      <w:tr>
        <w:trPr>
          <w:trHeight w:val="73"/>
        </w:trPr>
        <w:tc>
          <w:tcPr>
            <w:tcW w:w="740" w:type="dxa"/>
            <w:vAlign w:val="bottom"/>
            <w:tcBorders>
              <w:left w:val="single" w:sz="8" w:color="auto"/>
              <w:bottom w:val="single" w:sz="8" w:color="auto"/>
            </w:tcBorders>
          </w:tcPr>
          <w:p>
            <w:pPr>
              <w:spacing w:after="0"/>
              <w:rPr>
                <w:sz w:val="6"/>
                <w:szCs w:val="6"/>
                <w:color w:val="auto"/>
              </w:rPr>
            </w:pPr>
          </w:p>
        </w:tc>
        <w:tc>
          <w:tcPr>
            <w:tcW w:w="3440" w:type="dxa"/>
            <w:vAlign w:val="bottom"/>
            <w:tcBorders>
              <w:bottom w:val="single" w:sz="8" w:color="auto"/>
            </w:tcBorders>
            <w:gridSpan w:val="2"/>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118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r>
      <w:tr>
        <w:trPr>
          <w:trHeight w:val="204"/>
        </w:trPr>
        <w:tc>
          <w:tcPr>
            <w:tcW w:w="740" w:type="dxa"/>
            <w:vAlign w:val="bottom"/>
            <w:tcBorders>
              <w:left w:val="single" w:sz="8" w:color="auto"/>
            </w:tcBorders>
          </w:tcPr>
          <w:p>
            <w:pPr>
              <w:spacing w:after="0"/>
              <w:rPr>
                <w:sz w:val="17"/>
                <w:szCs w:val="17"/>
                <w:color w:val="auto"/>
              </w:rPr>
            </w:pPr>
          </w:p>
        </w:tc>
        <w:tc>
          <w:tcPr>
            <w:tcW w:w="3440" w:type="dxa"/>
            <w:vAlign w:val="bottom"/>
            <w:gridSpan w:val="2"/>
          </w:tcPr>
          <w:p>
            <w:pPr>
              <w:jc w:val="center"/>
              <w:ind w:left="301"/>
              <w:spacing w:after="0"/>
              <w:rPr>
                <w:sz w:val="20"/>
                <w:szCs w:val="20"/>
                <w:color w:val="auto"/>
              </w:rPr>
            </w:pPr>
            <w:r>
              <w:rPr>
                <w:rFonts w:ascii="Times New Roman" w:cs="Times New Roman" w:eastAsia="Times New Roman" w:hAnsi="Times New Roman"/>
                <w:sz w:val="16"/>
                <w:szCs w:val="16"/>
                <w:color w:val="auto"/>
              </w:rPr>
              <w:t>Total Fees Previously Paid</w:t>
            </w:r>
          </w:p>
        </w:tc>
        <w:tc>
          <w:tcPr>
            <w:tcW w:w="11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w:t>
            </w:r>
          </w:p>
        </w:tc>
      </w:tr>
      <w:tr>
        <w:trPr>
          <w:trHeight w:val="73"/>
        </w:trPr>
        <w:tc>
          <w:tcPr>
            <w:tcW w:w="740" w:type="dxa"/>
            <w:vAlign w:val="bottom"/>
            <w:tcBorders>
              <w:left w:val="single" w:sz="8" w:color="auto"/>
              <w:bottom w:val="single" w:sz="8" w:color="auto"/>
            </w:tcBorders>
          </w:tcPr>
          <w:p>
            <w:pPr>
              <w:spacing w:after="0"/>
              <w:rPr>
                <w:sz w:val="6"/>
                <w:szCs w:val="6"/>
                <w:color w:val="auto"/>
              </w:rPr>
            </w:pPr>
          </w:p>
        </w:tc>
        <w:tc>
          <w:tcPr>
            <w:tcW w:w="25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118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r>
      <w:tr>
        <w:trPr>
          <w:trHeight w:val="204"/>
        </w:trPr>
        <w:tc>
          <w:tcPr>
            <w:tcW w:w="740" w:type="dxa"/>
            <w:vAlign w:val="bottom"/>
            <w:tcBorders>
              <w:left w:val="single" w:sz="8" w:color="auto"/>
            </w:tcBorders>
          </w:tcPr>
          <w:p>
            <w:pPr>
              <w:spacing w:after="0"/>
              <w:rPr>
                <w:sz w:val="17"/>
                <w:szCs w:val="17"/>
                <w:color w:val="auto"/>
              </w:rPr>
            </w:pPr>
          </w:p>
        </w:tc>
        <w:tc>
          <w:tcPr>
            <w:tcW w:w="2500" w:type="dxa"/>
            <w:vAlign w:val="bottom"/>
          </w:tcPr>
          <w:p>
            <w:pPr>
              <w:jc w:val="center"/>
              <w:ind w:left="1241"/>
              <w:spacing w:after="0"/>
              <w:rPr>
                <w:sz w:val="20"/>
                <w:szCs w:val="20"/>
                <w:color w:val="auto"/>
              </w:rPr>
            </w:pPr>
            <w:r>
              <w:rPr>
                <w:rFonts w:ascii="Times New Roman" w:cs="Times New Roman" w:eastAsia="Times New Roman" w:hAnsi="Times New Roman"/>
                <w:sz w:val="16"/>
                <w:szCs w:val="16"/>
                <w:color w:val="auto"/>
                <w:w w:val="98"/>
              </w:rPr>
              <w:t>Total Fee Offsets</w:t>
            </w:r>
          </w:p>
        </w:tc>
        <w:tc>
          <w:tcPr>
            <w:tcW w:w="94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w:t>
            </w:r>
          </w:p>
        </w:tc>
      </w:tr>
      <w:tr>
        <w:trPr>
          <w:trHeight w:val="73"/>
        </w:trPr>
        <w:tc>
          <w:tcPr>
            <w:tcW w:w="740" w:type="dxa"/>
            <w:vAlign w:val="bottom"/>
            <w:tcBorders>
              <w:left w:val="single" w:sz="8" w:color="auto"/>
              <w:bottom w:val="single" w:sz="8" w:color="auto"/>
            </w:tcBorders>
          </w:tcPr>
          <w:p>
            <w:pPr>
              <w:spacing w:after="0"/>
              <w:rPr>
                <w:sz w:val="6"/>
                <w:szCs w:val="6"/>
                <w:color w:val="auto"/>
              </w:rPr>
            </w:pPr>
          </w:p>
        </w:tc>
        <w:tc>
          <w:tcPr>
            <w:tcW w:w="25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118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r>
      <w:tr>
        <w:trPr>
          <w:trHeight w:val="204"/>
        </w:trPr>
        <w:tc>
          <w:tcPr>
            <w:tcW w:w="740" w:type="dxa"/>
            <w:vAlign w:val="bottom"/>
            <w:tcBorders>
              <w:left w:val="single" w:sz="8" w:color="auto"/>
            </w:tcBorders>
          </w:tcPr>
          <w:p>
            <w:pPr>
              <w:spacing w:after="0"/>
              <w:rPr>
                <w:sz w:val="17"/>
                <w:szCs w:val="17"/>
                <w:color w:val="auto"/>
              </w:rPr>
            </w:pPr>
          </w:p>
        </w:tc>
        <w:tc>
          <w:tcPr>
            <w:tcW w:w="2500" w:type="dxa"/>
            <w:vAlign w:val="bottom"/>
          </w:tcPr>
          <w:p>
            <w:pPr>
              <w:jc w:val="center"/>
              <w:ind w:left="1241"/>
              <w:spacing w:after="0"/>
              <w:rPr>
                <w:sz w:val="20"/>
                <w:szCs w:val="20"/>
                <w:color w:val="auto"/>
              </w:rPr>
            </w:pPr>
            <w:r>
              <w:rPr>
                <w:rFonts w:ascii="Times New Roman" w:cs="Times New Roman" w:eastAsia="Times New Roman" w:hAnsi="Times New Roman"/>
                <w:sz w:val="16"/>
                <w:szCs w:val="16"/>
                <w:color w:val="auto"/>
              </w:rPr>
              <w:t>Net Fee Due</w:t>
            </w:r>
          </w:p>
        </w:tc>
        <w:tc>
          <w:tcPr>
            <w:tcW w:w="94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$85.89</w:t>
            </w:r>
          </w:p>
        </w:tc>
      </w:tr>
      <w:tr>
        <w:trPr>
          <w:trHeight w:val="73"/>
        </w:trPr>
        <w:tc>
          <w:tcPr>
            <w:tcW w:w="740" w:type="dxa"/>
            <w:vAlign w:val="bottom"/>
            <w:tcBorders>
              <w:left w:val="single" w:sz="8" w:color="auto"/>
              <w:bottom w:val="single" w:sz="8" w:color="auto"/>
            </w:tcBorders>
          </w:tcPr>
          <w:p>
            <w:pPr>
              <w:spacing w:after="0"/>
              <w:rPr>
                <w:sz w:val="6"/>
                <w:szCs w:val="6"/>
                <w:color w:val="auto"/>
              </w:rPr>
            </w:pPr>
          </w:p>
        </w:tc>
        <w:tc>
          <w:tcPr>
            <w:tcW w:w="25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118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r>
    </w:tbl>
    <w:p>
      <w:pPr>
        <w:spacing w:after="0" w:line="108" w:lineRule="exact"/>
        <w:rPr>
          <w:sz w:val="20"/>
          <w:szCs w:val="20"/>
          <w:color w:val="auto"/>
        </w:rPr>
      </w:pPr>
    </w:p>
    <w:p>
      <w:pPr>
        <w:ind w:left="460" w:right="40" w:hanging="454"/>
        <w:spacing w:after="0" w:line="266" w:lineRule="auto"/>
        <w:tabs>
          <w:tab w:leader="none" w:pos="33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Rule 416(a) promulgated under the Securities Act of 1933, as amended (the “Securities Act”), this Registration Statement shall also cover any additional shares of common stock, par value $0.0001 per share (“Common Stock”) of Sensei Biotherapeutics, Inc. (the “Registrant”) that become issuable under the 2021 Equity Incentive Plan (the “2021 EIP”) or 2021 Employee Stock Purchase Plan (the “2021 ESPP”) set forth herein by reason of any stock dividend, stock split, recapitalization, or other similar transaction effected that results in an increase to the number of outstanding shares of Registrant’s Common Stock, as applicable.</w:t>
      </w:r>
    </w:p>
    <w:p>
      <w:pPr>
        <w:spacing w:after="0" w:line="2" w:lineRule="exact"/>
        <w:rPr>
          <w:rFonts w:ascii="Times New Roman" w:cs="Times New Roman" w:eastAsia="Times New Roman" w:hAnsi="Times New Roman"/>
          <w:sz w:val="16"/>
          <w:szCs w:val="16"/>
          <w:color w:val="auto"/>
        </w:rPr>
      </w:pPr>
    </w:p>
    <w:p>
      <w:pPr>
        <w:ind w:left="340" w:hanging="334"/>
        <w:spacing w:after="0"/>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share of the Registrant’s Common Stock being registered hereunder, if issued prior to the termination by the Registrant of its Stockholder Rights</w:t>
      </w:r>
    </w:p>
    <w:p>
      <w:pPr>
        <w:spacing w:after="0" w:line="19" w:lineRule="exact"/>
        <w:rPr>
          <w:sz w:val="20"/>
          <w:szCs w:val="20"/>
          <w:color w:val="auto"/>
        </w:rPr>
      </w:pPr>
    </w:p>
    <w:p>
      <w:pPr>
        <w:ind w:left="460" w:right="840"/>
        <w:spacing w:after="0" w:line="264" w:lineRule="auto"/>
        <w:rPr>
          <w:sz w:val="20"/>
          <w:szCs w:val="20"/>
          <w:color w:val="auto"/>
        </w:rPr>
      </w:pPr>
      <w:r>
        <w:rPr>
          <w:rFonts w:ascii="Times New Roman" w:cs="Times New Roman" w:eastAsia="Times New Roman" w:hAnsi="Times New Roman"/>
          <w:sz w:val="16"/>
          <w:szCs w:val="16"/>
          <w:color w:val="auto"/>
        </w:rPr>
        <w:t>Agreement (the “Rights Agreement”), dated March 7, 2023, between the Registrant and the rights agent named therein, includes Series A Junior Participating Cumulative Preferred Stock purchase rights (the “Rights”). Prior to the occurrence of certain events, the Rights will not be exercisable or evidenced separately from the Registrant’s Common Stock and have no value except as reflected in the market price of the shares to which they are attached.</w:t>
      </w:r>
    </w:p>
    <w:p>
      <w:pPr>
        <w:ind w:left="460" w:right="1280" w:hanging="454"/>
        <w:spacing w:after="0" w:line="276" w:lineRule="auto"/>
        <w:tabs>
          <w:tab w:leader="none" w:pos="396"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of Common Stock that were added to the shares authorized for issuance under the 2021 EIP on January 1, 2024 pursuant to an “evergreen” provision contained in the 2021 EIP.</w:t>
      </w:r>
    </w:p>
    <w:p>
      <w:pPr>
        <w:ind w:left="460" w:right="780" w:hanging="454"/>
        <w:spacing w:after="0" w:line="269" w:lineRule="auto"/>
        <w:tabs>
          <w:tab w:leader="none" w:pos="33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of Common Stock that were added to the shares authorized for future issuance under the 2021 ESPP on January 1, 2024 pursuant to an “evergreen” provision contained in the 2021 ESPP.</w:t>
      </w:r>
    </w:p>
    <w:p>
      <w:pPr>
        <w:ind w:left="460" w:right="240" w:hanging="454"/>
        <w:spacing w:after="0" w:line="276" w:lineRule="auto"/>
        <w:tabs>
          <w:tab w:leader="none" w:pos="33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in accordance with Rule 457(c) and Rule 457(h) promulgated under the Securities Act solely for the purpose of calculating the registration fee. The offering price per share and the aggregate offering price are based upon a per share price of $0.775, which is the average of the high and low prices per share of the Registrant’s Common Stock on February 23, 2024, as reported on The Nasdaq Global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856615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1071" w:right="41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0"/>
    </w:lvl>
  </w:abstractNum>
  <w:abstractNum w:abstractNumId="1">
    <w:nsid w:val="2AE8944A"/>
    <w:multiLevelType w:val="hybridMultilevel"/>
    <w:lvl w:ilvl="0">
      <w:lvlJc w:val="left"/>
      <w:lvlText w:val="(%1)"/>
      <w:numFmt w:val="lowerRoman"/>
      <w:start w:val="1"/>
    </w:lvl>
  </w:abstractNum>
  <w:abstractNum w:abstractNumId="2">
    <w:nsid w:val="625558EC"/>
    <w:multiLevelType w:val="hybridMultilevel"/>
    <w:lvl w:ilvl="0">
      <w:lvlJc w:val="left"/>
      <w:lvlText w:val="(%1)"/>
      <w:numFmt w:val="lowerRoman"/>
      <w:start w:val="3"/>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jpe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13" Type="http://schemas.openxmlformats.org/officeDocument/2006/relationships/hyperlink" Target="https://www.sec.gov/Archives/edgar/data/1829802/000119312521037280/d95909dex31.htm" TargetMode="External"/><Relationship Id="rId14" Type="http://schemas.openxmlformats.org/officeDocument/2006/relationships/hyperlink" Target="https://www.sec.gov/Archives/edgar/data/1829802/000119312521037280/d95909dex32.htm" TargetMode="External"/><Relationship Id="rId15" Type="http://schemas.openxmlformats.org/officeDocument/2006/relationships/hyperlink" Target="https://www.sec.gov/Archives/edgar/data/1829802/000119312523063093/d470819dex31.htm" TargetMode="External"/><Relationship Id="rId16" Type="http://schemas.openxmlformats.org/officeDocument/2006/relationships/hyperlink" Target="https://www.sec.gov/Archives/edgar/data/1829802/000119312523063093/d470819dex41.htm" TargetMode="External"/><Relationship Id="rId17" Type="http://schemas.openxmlformats.org/officeDocument/2006/relationships/hyperlink" Target="https://www.sec.gov/Archives/edgar/data/1829802/000119312521023615/d43789dex102.htm" TargetMode="External"/><Relationship Id="rId18" Type="http://schemas.openxmlformats.org/officeDocument/2006/relationships/hyperlink" Target="https://www.sec.gov/Archives/edgar/data/1829802/000119312521023615/d43789dex1010.htm" TargetMode="External"/><Relationship Id="rId19" Type="http://schemas.openxmlformats.org/officeDocument/2006/relationships/hyperlink" Target="https://www.sec.gov/Archives/edgar/data/1829802/000119312522146308/d298373d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2024-02-29T16:14:09Z</dcterms:created>
  <dcterms:modified xsi:type="dcterms:W3CDTF">2024-02-29T16:14:09Z</dcterms:modified>
</cp:coreProperties>
</file>