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Sensei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02/24/2026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ICS Opportunities II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127,917.00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127,917.00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127,917.00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128,761.00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128,761.00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128,761.00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128,761.00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128,761.00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128,761.00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128,761.00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128,761.00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128,761.00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Sensei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1405 Research Boulevard, Suite 125, Rockville, Maryland 20850</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ICS Opportunities II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ICS Opportunities II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ICS Opportunities II LLC - Cayman Islands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 As of the close of business on February 24, 2026, the reporting persons beneficially owned an aggregate of 84,541 shares of common stock, par value $0.0001 per share ("Common Stock") or 6.7% of the Common Stock outstanding. After acquiring beneficial ownership of more than 10% of the outstanding Common Stock on March 26, 2026, the reporting persons beneficially owned 127,095 shares of Common Stock or 10.1% of the Common Stock outstanding. As of the close of business on May 14, 2026, the reporting persons beneficially owned an aggregate of 128,761 shares of Common Stock or 9.6% of the Common Stock outstanding. The information reported on each cover page is as of the close of business on May 14, 2026. Calculations herein prior to May 14, 2026 are based on 1,261,290 shares of Common Stock outstanding as November 10, 2025, as reported by Sensei Biotherapeutics, Inc. (the "Company") on its 10-Q filed on November 14, 2025. Calculations as of May 14, 2026 are based on 1,341,140 shares of Common Stock outstanding as of April 13, 2026, as reported by the Company in the proxy statement filed on April 27,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ICS Opportunities II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ICS OPPORTUNITIES II LLC By: Millennium Management LLC, its Investment Manager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May 14, 2026, by and among ICS Opportunities II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14793d1_ex-1.htm"/>
      <w:bookmarkStart w:id="29" w:name="kstm2614793d1_ex1"/>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$0.0001 per share, of Sensei Biotherapeutics,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2026</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420"/>
        <w:gridCol w:w="3409"/>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ICS OPPORTUNITIES II LLC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Millennium Management LLC,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Investment Manager</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Gil Raviv</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Gil Raviv</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Global General Counsel</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MILLENNIUM MANAGEMENT LLC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Gil Raviv</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Gil Raviv</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Global General Counsel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Gil Raviv</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Gil Raviv</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Global General Counsel</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34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1804</Words>
  <Characters>9328</Characters>
  <CharactersWithSpaces>11102</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