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3880" w:right="1640" w:hanging="3872"/>
        <w:spacing w:after="0" w:line="213" w:lineRule="auto"/>
        <w:tabs>
          <w:tab w:leader="none" w:pos="462"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w:t>
      </w:r>
    </w:p>
    <w:p>
      <w:pPr>
        <w:spacing w:after="0" w:line="29" w:lineRule="exact"/>
        <w:rPr>
          <w:sz w:val="24"/>
          <w:szCs w:val="24"/>
          <w:color w:val="auto"/>
        </w:rPr>
      </w:pPr>
    </w:p>
    <w:p>
      <w:pPr>
        <w:ind w:left="46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001-39980</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Sensei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tbl>
      <w:tblPr>
        <w:tblLayout w:type="fixed"/>
        <w:tblInd w:w="1620" w:type="dxa"/>
        <w:tblCellMar>
          <w:top w:w="0" w:type="dxa"/>
          <w:left w:w="0" w:type="dxa"/>
          <w:bottom w:w="0" w:type="dxa"/>
          <w:right w:w="0" w:type="dxa"/>
        </w:tblCellMar>
      </w:tblPr>
      <w:tr>
        <w:trPr>
          <w:trHeight w:val="194"/>
        </w:trPr>
        <w:tc>
          <w:tcPr>
            <w:tcW w:w="4320" w:type="dxa"/>
            <w:vAlign w:val="bottom"/>
          </w:tcPr>
          <w:p>
            <w:pPr>
              <w:jc w:val="center"/>
              <w:ind w:right="1864"/>
              <w:spacing w:after="0"/>
              <w:rPr>
                <w:sz w:val="20"/>
                <w:szCs w:val="20"/>
                <w:color w:val="auto"/>
              </w:rPr>
            </w:pPr>
            <w:r>
              <w:rPr>
                <w:rFonts w:ascii="Arial" w:cs="Arial" w:eastAsia="Arial" w:hAnsi="Arial"/>
                <w:sz w:val="16"/>
                <w:szCs w:val="16"/>
                <w:b w:val="1"/>
                <w:bCs w:val="1"/>
                <w:color w:val="auto"/>
                <w:w w:val="93"/>
              </w:rPr>
              <w:t>Delaware</w:t>
            </w:r>
          </w:p>
        </w:tc>
        <w:tc>
          <w:tcPr>
            <w:tcW w:w="3060" w:type="dxa"/>
            <w:vAlign w:val="bottom"/>
          </w:tcPr>
          <w:p>
            <w:pPr>
              <w:jc w:val="right"/>
              <w:ind w:right="104"/>
              <w:spacing w:after="0"/>
              <w:rPr>
                <w:sz w:val="20"/>
                <w:szCs w:val="20"/>
                <w:color w:val="auto"/>
              </w:rPr>
            </w:pPr>
            <w:r>
              <w:rPr>
                <w:rFonts w:ascii="Arial" w:cs="Arial" w:eastAsia="Arial" w:hAnsi="Arial"/>
                <w:sz w:val="16"/>
                <w:szCs w:val="16"/>
                <w:b w:val="1"/>
                <w:bCs w:val="1"/>
                <w:color w:val="auto"/>
              </w:rPr>
              <w:t>83-1863385</w:t>
            </w:r>
          </w:p>
        </w:tc>
      </w:tr>
      <w:tr>
        <w:trPr>
          <w:trHeight w:val="148"/>
        </w:trPr>
        <w:tc>
          <w:tcPr>
            <w:tcW w:w="4320" w:type="dxa"/>
            <w:vAlign w:val="bottom"/>
          </w:tcPr>
          <w:p>
            <w:pPr>
              <w:jc w:val="center"/>
              <w:ind w:right="184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20" w:type="dxa"/>
            <w:vAlign w:val="bottom"/>
          </w:tcPr>
          <w:p>
            <w:pPr>
              <w:jc w:val="center"/>
              <w:ind w:right="1844"/>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4"/>
              <w:spacing w:after="0"/>
              <w:rPr>
                <w:sz w:val="20"/>
                <w:szCs w:val="20"/>
                <w:color w:val="auto"/>
              </w:rPr>
            </w:pPr>
            <w:r>
              <w:rPr>
                <w:rFonts w:ascii="Arial" w:cs="Arial" w:eastAsia="Arial" w:hAnsi="Arial"/>
                <w:sz w:val="14"/>
                <w:szCs w:val="14"/>
                <w:b w:val="1"/>
                <w:bCs w:val="1"/>
                <w:color w:val="auto"/>
                <w:w w:val="96"/>
              </w:rPr>
              <w:t>Identification No.)</w:t>
            </w:r>
          </w:p>
        </w:tc>
      </w:tr>
      <w:tr>
        <w:trPr>
          <w:trHeight w:val="241"/>
        </w:trPr>
        <w:tc>
          <w:tcPr>
            <w:tcW w:w="4320" w:type="dxa"/>
            <w:vAlign w:val="bottom"/>
          </w:tcPr>
          <w:p>
            <w:pPr>
              <w:jc w:val="center"/>
              <w:ind w:right="1844"/>
              <w:spacing w:after="0"/>
              <w:rPr>
                <w:sz w:val="20"/>
                <w:szCs w:val="20"/>
                <w:color w:val="auto"/>
              </w:rPr>
            </w:pPr>
            <w:r>
              <w:rPr>
                <w:rFonts w:ascii="Arial" w:cs="Arial" w:eastAsia="Arial" w:hAnsi="Arial"/>
                <w:sz w:val="16"/>
                <w:szCs w:val="16"/>
                <w:b w:val="1"/>
                <w:bCs w:val="1"/>
                <w:color w:val="auto"/>
                <w:w w:val="90"/>
              </w:rPr>
              <w:t>1405 Research Blvd, Suite 125</w:t>
            </w:r>
          </w:p>
        </w:tc>
        <w:tc>
          <w:tcPr>
            <w:tcW w:w="3060" w:type="dxa"/>
            <w:vAlign w:val="bottom"/>
          </w:tcPr>
          <w:p>
            <w:pPr>
              <w:spacing w:after="0"/>
              <w:rPr>
                <w:sz w:val="20"/>
                <w:szCs w:val="20"/>
                <w:color w:val="auto"/>
              </w:rPr>
            </w:pPr>
          </w:p>
        </w:tc>
      </w:tr>
      <w:tr>
        <w:trPr>
          <w:trHeight w:val="194"/>
        </w:trPr>
        <w:tc>
          <w:tcPr>
            <w:tcW w:w="4320" w:type="dxa"/>
            <w:vAlign w:val="bottom"/>
          </w:tcPr>
          <w:p>
            <w:pPr>
              <w:jc w:val="center"/>
              <w:ind w:right="1844"/>
              <w:spacing w:after="0"/>
              <w:rPr>
                <w:sz w:val="20"/>
                <w:szCs w:val="20"/>
                <w:color w:val="auto"/>
              </w:rPr>
            </w:pPr>
            <w:r>
              <w:rPr>
                <w:rFonts w:ascii="Arial" w:cs="Arial" w:eastAsia="Arial" w:hAnsi="Arial"/>
                <w:sz w:val="16"/>
                <w:szCs w:val="16"/>
                <w:b w:val="1"/>
                <w:bCs w:val="1"/>
                <w:color w:val="auto"/>
                <w:w w:val="96"/>
              </w:rPr>
              <w:t>Rockville, MD</w:t>
            </w:r>
          </w:p>
        </w:tc>
        <w:tc>
          <w:tcPr>
            <w:tcW w:w="3060" w:type="dxa"/>
            <w:vAlign w:val="bottom"/>
          </w:tcPr>
          <w:p>
            <w:pPr>
              <w:jc w:val="right"/>
              <w:ind w:right="284"/>
              <w:spacing w:after="0"/>
              <w:rPr>
                <w:sz w:val="20"/>
                <w:szCs w:val="20"/>
                <w:color w:val="auto"/>
              </w:rPr>
            </w:pPr>
            <w:r>
              <w:rPr>
                <w:rFonts w:ascii="Arial" w:cs="Arial" w:eastAsia="Arial" w:hAnsi="Arial"/>
                <w:sz w:val="16"/>
                <w:szCs w:val="16"/>
                <w:b w:val="1"/>
                <w:bCs w:val="1"/>
                <w:color w:val="auto"/>
              </w:rPr>
              <w:t>20850</w:t>
            </w:r>
          </w:p>
        </w:tc>
      </w:tr>
      <w:tr>
        <w:trPr>
          <w:trHeight w:val="186"/>
        </w:trPr>
        <w:tc>
          <w:tcPr>
            <w:tcW w:w="4320" w:type="dxa"/>
            <w:vAlign w:val="bottom"/>
          </w:tcPr>
          <w:p>
            <w:pPr>
              <w:jc w:val="center"/>
              <w:ind w:right="186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4"/>
              <w:spacing w:after="0"/>
              <w:rPr>
                <w:sz w:val="20"/>
                <w:szCs w:val="20"/>
                <w:color w:val="auto"/>
              </w:rPr>
            </w:pPr>
            <w:r>
              <w:rPr>
                <w:rFonts w:ascii="Arial" w:cs="Arial" w:eastAsia="Arial" w:hAnsi="Arial"/>
                <w:sz w:val="14"/>
                <w:szCs w:val="14"/>
                <w:b w:val="1"/>
                <w:bCs w:val="1"/>
                <w:color w:val="auto"/>
                <w:w w:val="95"/>
              </w:rPr>
              <w:t>(Zip Code)</w:t>
            </w:r>
          </w:p>
        </w:tc>
      </w:tr>
    </w:tbl>
    <w:p>
      <w:pPr>
        <w:spacing w:after="0" w:line="25"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Registrant’s telephone number, including area code: (240) 243-8000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SNSE</w:t>
            </w:r>
          </w:p>
        </w:tc>
        <w:tc>
          <w:tcPr>
            <w:tcW w:w="120" w:type="dxa"/>
            <w:vAlign w:val="bottom"/>
          </w:tcPr>
          <w:p>
            <w:pPr>
              <w:spacing w:after="0"/>
              <w:rPr>
                <w:sz w:val="17"/>
                <w:szCs w:val="17"/>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54" w:lineRule="exact"/>
        <w:rPr>
          <w:sz w:val="24"/>
          <w:szCs w:val="24"/>
          <w:color w:val="auto"/>
        </w:rPr>
      </w:pPr>
    </w:p>
    <w:p>
      <w:pPr>
        <w:jc w:val="both"/>
        <w:ind w:right="52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36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4"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7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8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40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00" w:type="dxa"/>
            <w:vAlign w:val="bottom"/>
          </w:tcPr>
          <w:p>
            <w:pPr>
              <w:spacing w:after="0"/>
              <w:rPr>
                <w:sz w:val="20"/>
                <w:szCs w:val="20"/>
                <w:color w:val="auto"/>
              </w:rPr>
            </w:pPr>
            <w:r>
              <w:rPr>
                <w:rFonts w:ascii="Arial" w:cs="Arial" w:eastAsia="Arial" w:hAnsi="Arial"/>
                <w:sz w:val="16"/>
                <w:szCs w:val="16"/>
                <w:color w:val="auto"/>
              </w:rPr>
              <w:t>Non-accelerated filer</w:t>
            </w:r>
          </w:p>
        </w:tc>
        <w:tc>
          <w:tcPr>
            <w:tcW w:w="38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400"/>
              <w:spacing w:after="0"/>
              <w:rPr>
                <w:sz w:val="20"/>
                <w:szCs w:val="20"/>
                <w:color w:val="auto"/>
              </w:rPr>
            </w:pPr>
            <w:r>
              <w:rPr>
                <w:rFonts w:ascii="Arial" w:cs="Arial" w:eastAsia="Arial" w:hAnsi="Arial"/>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0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5360" w:type="dxa"/>
            <w:vAlign w:val="bottom"/>
          </w:tcPr>
          <w:p>
            <w:pPr>
              <w:ind w:left="3400"/>
              <w:spacing w:after="0"/>
              <w:rPr>
                <w:sz w:val="20"/>
                <w:szCs w:val="20"/>
                <w:color w:val="auto"/>
              </w:rPr>
            </w:pPr>
            <w:r>
              <w:rPr>
                <w:rFonts w:ascii="Arial" w:cs="Arial" w:eastAsia="Arial" w:hAnsi="Arial"/>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6"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right="2780"/>
        <w:spacing w:after="0" w:line="24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Registrant’s Common Stock outstanding as of July 31, 2021 was 30,588,495.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8"/>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7060" w:type="dxa"/>
            <w:vAlign w:val="bottom"/>
            <w:gridSpan w:val="11"/>
            <w:vMerge w:val="restart"/>
          </w:tcPr>
          <w:p>
            <w:pPr>
              <w:spacing w:after="0"/>
              <w:rPr>
                <w:sz w:val="14"/>
                <w:szCs w:val="1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14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8"/>
            <w:vMerge w:val="continue"/>
          </w:tcPr>
          <w:p>
            <w:pPr>
              <w:spacing w:after="0"/>
              <w:rPr>
                <w:sz w:val="15"/>
                <w:szCs w:val="15"/>
                <w:color w:val="auto"/>
              </w:rPr>
            </w:pPr>
          </w:p>
        </w:tc>
        <w:tc>
          <w:tcPr>
            <w:tcW w:w="7060" w:type="dxa"/>
            <w:vAlign w:val="bottom"/>
            <w:gridSpan w:val="11"/>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320" w:type="dxa"/>
            <w:vAlign w:val="bottom"/>
            <w:tcBorders>
              <w:top w:val="single" w:sz="8" w:color="0000EE"/>
            </w:tcBorders>
          </w:tcPr>
          <w:p>
            <w:pPr>
              <w:spacing w:after="0"/>
              <w:rPr>
                <w:sz w:val="18"/>
                <w:szCs w:val="18"/>
                <w:color w:val="auto"/>
              </w:rPr>
            </w:pPr>
          </w:p>
        </w:tc>
        <w:tc>
          <w:tcPr>
            <w:tcW w:w="606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Loss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20" w:type="dxa"/>
            <w:vAlign w:val="bottom"/>
            <w:gridSpan w:val="19"/>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Convertible Preferred Stock, Common Stock and Stockholders’ Equity (Deficit)</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4920" w:type="dxa"/>
            <w:vAlign w:val="bottom"/>
            <w:tcBorders>
              <w:top w:val="single" w:sz="8" w:color="0000EE"/>
            </w:tcBorders>
            <w:gridSpan w:val="6"/>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532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496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Controls and Procedures</w:t>
              </w:r>
            </w:hyperlink>
          </w:p>
        </w:tc>
        <w:tc>
          <w:tcPr>
            <w:tcW w:w="752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2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18"/>
                <w:szCs w:val="18"/>
                <w:color w:val="auto"/>
              </w:rPr>
            </w:pPr>
          </w:p>
        </w:tc>
        <w:tc>
          <w:tcPr>
            <w:tcW w:w="744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2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498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4"/>
          </w:tcPr>
          <w:p>
            <w:pPr>
              <w:spacing w:after="0"/>
              <w:rPr>
                <w:sz w:val="18"/>
                <w:szCs w:val="18"/>
                <w:color w:val="auto"/>
              </w:rPr>
            </w:pPr>
          </w:p>
        </w:tc>
        <w:tc>
          <w:tcPr>
            <w:tcW w:w="700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800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2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SENSEI BIOTHERAPEUTICS,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6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15,599</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146,899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offering costs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Total current assets</w:t>
            </w:r>
          </w:p>
        </w:tc>
        <w:tc>
          <w:tcPr>
            <w:tcW w:w="1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165,613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w:t>
            </w:r>
          </w:p>
        </w:tc>
        <w:tc>
          <w:tcPr>
            <w:tcW w:w="1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167,724</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2,828</w:t>
            </w:r>
          </w:p>
        </w:tc>
        <w:tc>
          <w:tcPr>
            <w:tcW w:w="180" w:type="dxa"/>
            <w:vAlign w:val="bottom"/>
          </w:tcPr>
          <w:p>
            <w:pPr>
              <w:spacing w:after="0"/>
              <w:rPr>
                <w:sz w:val="19"/>
                <w:szCs w:val="19"/>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1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Debt</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1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Convertible preferred stock (Series AA) (Note 9)</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Convertible preferred stock (Series BB) (Note 9)</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60" w:type="dxa"/>
            <w:vAlign w:val="bottom"/>
          </w:tcPr>
          <w:p>
            <w:pPr>
              <w:spacing w:after="0"/>
              <w:rPr>
                <w:sz w:val="20"/>
                <w:szCs w:val="20"/>
                <w:color w:val="auto"/>
              </w:rPr>
            </w:pPr>
            <w:r>
              <w:rPr>
                <w:rFonts w:ascii="Arial" w:cs="Arial" w:eastAsia="Arial" w:hAnsi="Arial"/>
                <w:sz w:val="18"/>
                <w:szCs w:val="18"/>
                <w:color w:val="auto"/>
              </w:rPr>
              <w:t>Common stock, $0.0001 par value; 1,230,000,000 shares authorized as of</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40"/>
              <w:spacing w:after="0"/>
              <w:rPr>
                <w:sz w:val="20"/>
                <w:szCs w:val="20"/>
                <w:color w:val="auto"/>
              </w:rPr>
            </w:pPr>
            <w:r>
              <w:rPr>
                <w:rFonts w:ascii="Arial" w:cs="Arial" w:eastAsia="Arial" w:hAnsi="Arial"/>
                <w:sz w:val="18"/>
                <w:szCs w:val="18"/>
                <w:color w:val="auto"/>
              </w:rPr>
              <w:t>June 30, 2021, 30,588,495 shares and 1,875,422 shares issued and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outstanding at June 30, 2021 and December 31, 2020, respectively</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293,378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Accumulated deficit</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(130,155)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(112,412)</w:t>
            </w: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 (deficit)</w:t>
            </w:r>
          </w:p>
        </w:tc>
        <w:tc>
          <w:tcPr>
            <w:tcW w:w="11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163,125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167,724</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t>SENSEI BIOTHERAPEUTICS,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w w:val="96"/>
              </w:rPr>
              <w:t>Three Months Ended June 30,</w:t>
            </w:r>
          </w:p>
        </w:tc>
        <w:tc>
          <w:tcPr>
            <w:tcW w:w="100" w:type="dxa"/>
            <w:vAlign w:val="bottom"/>
          </w:tcPr>
          <w:p>
            <w:pPr>
              <w:spacing w:after="0"/>
              <w:rPr>
                <w:sz w:val="14"/>
                <w:szCs w:val="14"/>
                <w:color w:val="auto"/>
              </w:rPr>
            </w:pPr>
          </w:p>
        </w:tc>
        <w:tc>
          <w:tcPr>
            <w:tcW w:w="23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1"/>
              </w:rPr>
              <w:t>For the Six Months Ended June 30,</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5,898</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2,858</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9,263</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500"/>
              <w:spacing w:after="0"/>
              <w:rPr>
                <w:sz w:val="20"/>
                <w:szCs w:val="20"/>
                <w:color w:val="auto"/>
              </w:rPr>
            </w:pPr>
            <w:r>
              <w:rPr>
                <w:rFonts w:ascii="Arial" w:cs="Arial" w:eastAsia="Arial" w:hAnsi="Arial"/>
                <w:sz w:val="18"/>
                <w:szCs w:val="18"/>
                <w:color w:val="auto"/>
              </w:rPr>
              <w:t>Alvaxa IPR&amp;D</w:t>
            </w: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9,784</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4,907</w:t>
            </w:r>
          </w:p>
        </w:tc>
        <w:tc>
          <w:tcPr>
            <w:tcW w:w="6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(9,784)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(4,907)</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50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6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6"/>
              </w:rPr>
              <w:t>Interest expense, including $0 and $645 with related parties in the</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three months and six months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ended June 30, 2021 and 2020, respectively</w:t>
            </w: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15"/>
        </w:trPr>
        <w:tc>
          <w:tcPr>
            <w:tcW w:w="5600" w:type="dxa"/>
            <w:vAlign w:val="bottom"/>
          </w:tcPr>
          <w:p>
            <w:pPr>
              <w:ind w:left="500"/>
              <w:spacing w:after="0"/>
              <w:rPr>
                <w:sz w:val="20"/>
                <w:szCs w:val="20"/>
                <w:color w:val="auto"/>
              </w:rPr>
            </w:pPr>
            <w:r>
              <w:rPr>
                <w:rFonts w:ascii="Arial" w:cs="Arial" w:eastAsia="Arial" w:hAnsi="Arial"/>
                <w:sz w:val="18"/>
                <w:szCs w:val="18"/>
                <w:color w:val="auto"/>
                <w:w w:val="95"/>
              </w:rPr>
              <w:t>Fair value adjustments on embedded debt derivatives, including $0</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500"/>
              <w:spacing w:after="0"/>
              <w:rPr>
                <w:sz w:val="20"/>
                <w:szCs w:val="20"/>
                <w:color w:val="auto"/>
              </w:rPr>
            </w:pPr>
            <w:r>
              <w:rPr>
                <w:rFonts w:ascii="Arial" w:cs="Arial" w:eastAsia="Arial" w:hAnsi="Arial"/>
                <w:sz w:val="18"/>
                <w:szCs w:val="18"/>
                <w:color w:val="auto"/>
              </w:rPr>
              <w:t>and $575 with</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640"/>
              <w:spacing w:after="0"/>
              <w:rPr>
                <w:sz w:val="20"/>
                <w:szCs w:val="20"/>
                <w:color w:val="auto"/>
              </w:rPr>
            </w:pPr>
            <w:r>
              <w:rPr>
                <w:rFonts w:ascii="Arial" w:cs="Arial" w:eastAsia="Arial" w:hAnsi="Arial"/>
                <w:sz w:val="18"/>
                <w:szCs w:val="18"/>
                <w:color w:val="auto"/>
                <w:w w:val="93"/>
              </w:rPr>
              <w:t>related parties in the three months and six months ended June 30,</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500"/>
              <w:spacing w:after="0"/>
              <w:rPr>
                <w:sz w:val="20"/>
                <w:szCs w:val="20"/>
                <w:color w:val="auto"/>
              </w:rPr>
            </w:pPr>
            <w:r>
              <w:rPr>
                <w:rFonts w:ascii="Arial" w:cs="Arial" w:eastAsia="Arial" w:hAnsi="Arial"/>
                <w:sz w:val="18"/>
                <w:szCs w:val="18"/>
                <w:color w:val="auto"/>
              </w:rPr>
              <w:t>2021 and 2020, respectively</w:t>
            </w: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fixed asset disposition</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ind w:left="500"/>
              <w:spacing w:after="0"/>
              <w:rPr>
                <w:sz w:val="20"/>
                <w:szCs w:val="20"/>
                <w:color w:val="auto"/>
              </w:rPr>
            </w:pPr>
            <w:r>
              <w:rPr>
                <w:rFonts w:ascii="Arial" w:cs="Arial" w:eastAsia="Arial" w:hAnsi="Arial"/>
                <w:sz w:val="18"/>
                <w:szCs w:val="18"/>
                <w:color w:val="auto"/>
              </w:rPr>
              <w:t>Gain on debt extinguishment</w:t>
            </w: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(4,910)</w:t>
            </w:r>
          </w:p>
        </w:tc>
        <w:tc>
          <w:tcPr>
            <w:tcW w:w="6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Cumulative dividends on convertible preferred stock</w:t>
            </w: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56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(4,910)</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6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2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number of shares used in computing net loss per</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common share, basic</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and diluted</w:t>
            </w: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30,588,495</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1,625,011</w:t>
            </w:r>
          </w:p>
        </w:tc>
        <w:tc>
          <w:tcPr>
            <w:tcW w:w="6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24,778,949</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1,413,062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(9,771)</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0FC"/>
          </w:tcPr>
          <w:p>
            <w:pPr>
              <w:jc w:val="right"/>
              <w:ind w:right="580"/>
              <w:spacing w:after="0"/>
              <w:rPr>
                <w:sz w:val="20"/>
                <w:szCs w:val="20"/>
                <w:color w:val="auto"/>
              </w:rPr>
            </w:pPr>
            <w:r>
              <w:rPr>
                <w:rFonts w:ascii="Arial" w:cs="Arial" w:eastAsia="Arial" w:hAnsi="Arial"/>
                <w:sz w:val="18"/>
                <w:szCs w:val="18"/>
                <w:color w:val="auto"/>
              </w:rPr>
              <w:t>(4,910)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(17,743)</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(9,602)</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Other comprehensive items: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 on marketable securities</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comprehensive loss</w:t>
            </w: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CFF0FC"/>
            </w:tcBorders>
          </w:tcPr>
          <w:p>
            <w:pPr>
              <w:spacing w:after="0"/>
              <w:rPr>
                <w:sz w:val="19"/>
                <w:szCs w:val="19"/>
                <w:color w:val="auto"/>
              </w:rPr>
            </w:pPr>
          </w:p>
        </w:tc>
        <w:tc>
          <w:tcPr>
            <w:tcW w:w="86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Total comprehensive loss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(4,910)</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(9,602)</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SENSEI BIOTHERAPEUTICS,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CONVERTIBLE PREFERRED STOCK, COMMON STOCK AND STOCKHOLDERS’ EQUITY</w:t>
      </w:r>
    </w:p>
    <w:p>
      <w:pPr>
        <w:spacing w:after="0" w:line="7"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(DEFICIT)</w:t>
      </w:r>
    </w:p>
    <w:p>
      <w:pPr>
        <w:spacing w:after="0" w:line="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7"/>
          <w:szCs w:val="17"/>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132"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Accumulated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48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5"/>
              </w:rPr>
              <w:t>Convertible</w:t>
            </w:r>
          </w:p>
        </w:tc>
        <w:tc>
          <w:tcPr>
            <w:tcW w:w="154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95"/>
              </w:rPr>
              <w:t>Convertible</w:t>
            </w:r>
          </w:p>
        </w:tc>
        <w:tc>
          <w:tcPr>
            <w:tcW w:w="158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3"/>
                <w:szCs w:val="13"/>
                <w:b w:val="1"/>
                <w:bCs w:val="1"/>
                <w:color w:val="auto"/>
                <w:w w:val="97"/>
              </w:rPr>
              <w:t>Convertible</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48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4"/>
              </w:rPr>
              <w:t>Preferred Stock</w:t>
            </w:r>
          </w:p>
        </w:tc>
        <w:tc>
          <w:tcPr>
            <w:tcW w:w="154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94"/>
              </w:rPr>
              <w:t>Preferred Stock</w:t>
            </w:r>
          </w:p>
        </w:tc>
        <w:tc>
          <w:tcPr>
            <w:tcW w:w="158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3"/>
                <w:szCs w:val="13"/>
                <w:b w:val="1"/>
                <w:bCs w:val="1"/>
                <w:color w:val="auto"/>
                <w:w w:val="92"/>
              </w:rPr>
              <w:t>Preferred Stock</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4"/>
          </w:tcPr>
          <w:p>
            <w:pPr>
              <w:ind w:left="100"/>
              <w:spacing w:after="0"/>
              <w:rPr>
                <w:sz w:val="20"/>
                <w:szCs w:val="20"/>
                <w:color w:val="auto"/>
              </w:rPr>
            </w:pPr>
            <w:r>
              <w:rPr>
                <w:rFonts w:ascii="Arial" w:cs="Arial" w:eastAsia="Arial" w:hAnsi="Arial"/>
                <w:sz w:val="13"/>
                <w:szCs w:val="13"/>
                <w:b w:val="1"/>
                <w:bCs w:val="1"/>
                <w:color w:val="auto"/>
              </w:rPr>
              <w:t>Additional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ind w:left="40"/>
              <w:spacing w:after="0"/>
              <w:rPr>
                <w:sz w:val="20"/>
                <w:szCs w:val="20"/>
                <w:color w:val="auto"/>
              </w:rPr>
            </w:pPr>
            <w:r>
              <w:rPr>
                <w:rFonts w:ascii="Arial" w:cs="Arial" w:eastAsia="Arial" w:hAnsi="Arial"/>
                <w:sz w:val="13"/>
                <w:szCs w:val="13"/>
                <w:b w:val="1"/>
                <w:bCs w:val="1"/>
                <w:color w:val="auto"/>
              </w:rPr>
              <w:t>Comprehensive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4"/>
                <w:szCs w:val="14"/>
                <w:color w:val="auto"/>
              </w:rPr>
            </w:pPr>
          </w:p>
        </w:tc>
        <w:tc>
          <w:tcPr>
            <w:tcW w:w="148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3"/>
              </w:rPr>
              <w:t>(Series A-F)</w:t>
            </w:r>
          </w:p>
        </w:tc>
        <w:tc>
          <w:tcPr>
            <w:tcW w:w="154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96"/>
              </w:rPr>
              <w:t>(Series AA)</w:t>
            </w:r>
          </w:p>
        </w:tc>
        <w:tc>
          <w:tcPr>
            <w:tcW w:w="158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3"/>
                <w:szCs w:val="13"/>
                <w:b w:val="1"/>
                <w:bCs w:val="1"/>
                <w:color w:val="auto"/>
                <w:w w:val="94"/>
              </w:rPr>
              <w:t>(Series BB)</w:t>
            </w:r>
          </w:p>
        </w:tc>
        <w:tc>
          <w:tcPr>
            <w:tcW w:w="40" w:type="dxa"/>
            <w:vAlign w:val="bottom"/>
          </w:tcPr>
          <w:p>
            <w:pPr>
              <w:spacing w:after="0"/>
              <w:rPr>
                <w:sz w:val="14"/>
                <w:szCs w:val="14"/>
                <w:color w:val="auto"/>
              </w:rPr>
            </w:pPr>
          </w:p>
        </w:tc>
        <w:tc>
          <w:tcPr>
            <w:tcW w:w="1100" w:type="dxa"/>
            <w:vAlign w:val="bottom"/>
            <w:gridSpan w:val="4"/>
          </w:tcPr>
          <w:p>
            <w:pPr>
              <w:ind w:left="200"/>
              <w:spacing w:after="0"/>
              <w:rPr>
                <w:sz w:val="20"/>
                <w:szCs w:val="20"/>
                <w:color w:val="auto"/>
              </w:rPr>
            </w:pPr>
            <w:r>
              <w:rPr>
                <w:rFonts w:ascii="Arial" w:cs="Arial" w:eastAsia="Arial" w:hAnsi="Arial"/>
                <w:sz w:val="13"/>
                <w:szCs w:val="13"/>
                <w:b w:val="1"/>
                <w:bCs w:val="1"/>
                <w:color w:val="auto"/>
                <w:w w:val="92"/>
              </w:rPr>
              <w:t>Common 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Paid-In</w:t>
            </w:r>
          </w:p>
        </w:tc>
        <w:tc>
          <w:tcPr>
            <w:tcW w:w="880" w:type="dxa"/>
            <w:vAlign w:val="bottom"/>
            <w:gridSpan w:val="4"/>
          </w:tcPr>
          <w:p>
            <w:pPr>
              <w:ind w:left="40"/>
              <w:spacing w:after="0"/>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Income (Loss)</w:t>
            </w:r>
          </w:p>
        </w:tc>
        <w:tc>
          <w:tcPr>
            <w:tcW w:w="920" w:type="dxa"/>
            <w:vAlign w:val="bottom"/>
            <w:gridSpan w:val="4"/>
          </w:tcPr>
          <w:p>
            <w:pPr>
              <w:ind w:left="40"/>
              <w:spacing w:after="0"/>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66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5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43"/>
        </w:trPr>
        <w:tc>
          <w:tcPr>
            <w:tcW w:w="10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at</w:t>
            </w:r>
          </w:p>
        </w:tc>
        <w:tc>
          <w:tcPr>
            <w:tcW w:w="7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December 31,</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2019</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15,257,663</w:t>
            </w:r>
          </w:p>
        </w:tc>
        <w:tc>
          <w:tcPr>
            <w:tcW w:w="80" w:type="dxa"/>
            <w:vAlign w:val="bottom"/>
            <w:shd w:val="clear" w:color="auto" w:fill="CFF0FC"/>
          </w:tcPr>
          <w:p>
            <w:pPr>
              <w:spacing w:after="0"/>
              <w:rPr>
                <w:sz w:val="14"/>
                <w:szCs w:val="14"/>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47,545</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369,491</w:t>
            </w:r>
          </w:p>
        </w:tc>
        <w:tc>
          <w:tcPr>
            <w:tcW w:w="8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ind w:left="10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23,650</w:t>
            </w:r>
          </w:p>
        </w:tc>
        <w:tc>
          <w:tcPr>
            <w:tcW w:w="8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(92,312)</w:t>
            </w:r>
          </w:p>
        </w:tc>
        <w:tc>
          <w:tcPr>
            <w:tcW w:w="18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(68,662)</w:t>
            </w:r>
          </w:p>
        </w:tc>
        <w:tc>
          <w:tcPr>
            <w:tcW w:w="0" w:type="dxa"/>
            <w:vAlign w:val="bottom"/>
          </w:tcPr>
          <w:p>
            <w:pPr>
              <w:spacing w:after="0"/>
              <w:rPr>
                <w:sz w:val="1"/>
                <w:szCs w:val="1"/>
                <w:color w:val="auto"/>
              </w:rPr>
            </w:pPr>
          </w:p>
        </w:tc>
      </w:tr>
      <w:tr>
        <w:trPr>
          <w:trHeight w:val="145"/>
        </w:trPr>
        <w:tc>
          <w:tcPr>
            <w:tcW w:w="1080" w:type="dxa"/>
            <w:vAlign w:val="bottom"/>
          </w:tcPr>
          <w:p>
            <w:pPr>
              <w:ind w:left="240"/>
              <w:spacing w:after="0" w:line="145" w:lineRule="exact"/>
              <w:rPr>
                <w:sz w:val="20"/>
                <w:szCs w:val="20"/>
                <w:color w:val="auto"/>
              </w:rPr>
            </w:pPr>
            <w:r>
              <w:rPr>
                <w:rFonts w:ascii="Arial" w:cs="Arial" w:eastAsia="Arial" w:hAnsi="Arial"/>
                <w:sz w:val="13"/>
                <w:szCs w:val="13"/>
                <w:color w:val="auto"/>
              </w:rPr>
              <w:t>Stock-based</w:t>
            </w: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240"/>
              <w:spacing w:after="0"/>
              <w:rPr>
                <w:sz w:val="20"/>
                <w:szCs w:val="20"/>
                <w:color w:val="auto"/>
              </w:rPr>
            </w:pPr>
            <w:r>
              <w:rPr>
                <w:rFonts w:ascii="Arial" w:cs="Arial" w:eastAsia="Arial" w:hAnsi="Arial"/>
                <w:sz w:val="13"/>
                <w:szCs w:val="13"/>
                <w:color w:val="auto"/>
              </w:rPr>
              <w:t>compensation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tcPr>
          <w:p>
            <w:pPr>
              <w:ind w:left="340"/>
              <w:spacing w:after="0"/>
              <w:rPr>
                <w:sz w:val="20"/>
                <w:szCs w:val="20"/>
                <w:color w:val="auto"/>
              </w:rPr>
            </w:pPr>
            <w:r>
              <w:rPr>
                <w:rFonts w:ascii="Arial" w:cs="Arial" w:eastAsia="Arial" w:hAnsi="Arial"/>
                <w:sz w:val="13"/>
                <w:szCs w:val="13"/>
                <w:color w:val="auto"/>
              </w:rPr>
              <w:t>expense</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Conversion</w:t>
            </w: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of series</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A,B,C,D,E,F</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preferred</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 into</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common</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(15,257,663)</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4"/>
              </w:rPr>
              <w:t>(47,545)</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627,871</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47,545</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47,545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ind w:left="240"/>
              <w:spacing w:after="0"/>
              <w:rPr>
                <w:sz w:val="20"/>
                <w:szCs w:val="20"/>
                <w:color w:val="auto"/>
              </w:rPr>
            </w:pPr>
            <w:r>
              <w:rPr>
                <w:rFonts w:ascii="Arial" w:cs="Arial" w:eastAsia="Arial" w:hAnsi="Arial"/>
                <w:sz w:val="13"/>
                <w:szCs w:val="13"/>
                <w:color w:val="auto"/>
              </w:rPr>
              <w:t>Conversion</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240"/>
              <w:spacing w:after="0"/>
              <w:rPr>
                <w:sz w:val="20"/>
                <w:szCs w:val="20"/>
                <w:color w:val="auto"/>
              </w:rPr>
            </w:pPr>
            <w:r>
              <w:rPr>
                <w:rFonts w:ascii="Arial" w:cs="Arial" w:eastAsia="Arial" w:hAnsi="Arial"/>
                <w:sz w:val="13"/>
                <w:szCs w:val="13"/>
                <w:color w:val="auto"/>
              </w:rPr>
              <w:t>of common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240"/>
              <w:spacing w:after="0"/>
              <w:rPr>
                <w:sz w:val="20"/>
                <w:szCs w:val="20"/>
                <w:color w:val="auto"/>
              </w:rPr>
            </w:pPr>
            <w:r>
              <w:rPr>
                <w:rFonts w:ascii="Arial" w:cs="Arial" w:eastAsia="Arial" w:hAnsi="Arial"/>
                <w:sz w:val="13"/>
                <w:szCs w:val="13"/>
                <w:color w:val="auto"/>
              </w:rPr>
              <w:t>stock into</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240"/>
              <w:spacing w:after="0"/>
              <w:rPr>
                <w:sz w:val="20"/>
                <w:szCs w:val="20"/>
                <w:color w:val="auto"/>
              </w:rPr>
            </w:pPr>
            <w:r>
              <w:rPr>
                <w:rFonts w:ascii="Arial" w:cs="Arial" w:eastAsia="Arial" w:hAnsi="Arial"/>
                <w:sz w:val="13"/>
                <w:szCs w:val="13"/>
                <w:color w:val="auto"/>
              </w:rPr>
              <w:t>series AA</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240"/>
              <w:spacing w:after="0"/>
              <w:rPr>
                <w:sz w:val="20"/>
                <w:szCs w:val="20"/>
                <w:color w:val="auto"/>
              </w:rPr>
            </w:pPr>
            <w:r>
              <w:rPr>
                <w:rFonts w:ascii="Arial" w:cs="Arial" w:eastAsia="Arial" w:hAnsi="Arial"/>
                <w:sz w:val="13"/>
                <w:szCs w:val="13"/>
                <w:color w:val="auto"/>
              </w:rPr>
              <w:t>preferred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tcPr>
          <w:p>
            <w:pPr>
              <w:ind w:left="240"/>
              <w:spacing w:after="0"/>
              <w:rPr>
                <w:sz w:val="20"/>
                <w:szCs w:val="20"/>
                <w:color w:val="auto"/>
              </w:rPr>
            </w:pPr>
            <w:r>
              <w:rPr>
                <w:rFonts w:ascii="Arial" w:cs="Arial" w:eastAsia="Arial" w:hAnsi="Arial"/>
                <w:sz w:val="13"/>
                <w:szCs w:val="13"/>
                <w:color w:val="auto"/>
              </w:rPr>
              <w:t>stock</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210,310,025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17,274</w:t>
            </w:r>
          </w:p>
        </w:tc>
        <w:tc>
          <w:tcPr>
            <w:tcW w:w="12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(148,732)</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(17,274)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(17,274)</w:t>
            </w:r>
          </w:p>
        </w:tc>
        <w:tc>
          <w:tcPr>
            <w:tcW w:w="0" w:type="dxa"/>
            <w:vAlign w:val="bottom"/>
          </w:tcPr>
          <w:p>
            <w:pPr>
              <w:spacing w:after="0"/>
              <w:rPr>
                <w:sz w:val="1"/>
                <w:szCs w:val="1"/>
                <w:color w:val="auto"/>
              </w:rPr>
            </w:pPr>
          </w:p>
        </w:tc>
      </w:tr>
      <w:tr>
        <w:trPr>
          <w:trHeight w:val="151"/>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Preferred</w:t>
            </w: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 issued</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 exchange</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for note</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redemption</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188,173,050</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15,456</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080" w:type="dxa"/>
            <w:vAlign w:val="bottom"/>
          </w:tcPr>
          <w:p>
            <w:pPr>
              <w:ind w:left="240"/>
              <w:spacing w:after="0"/>
              <w:rPr>
                <w:sz w:val="20"/>
                <w:szCs w:val="20"/>
                <w:color w:val="auto"/>
              </w:rPr>
            </w:pPr>
            <w:r>
              <w:rPr>
                <w:rFonts w:ascii="Arial" w:cs="Arial" w:eastAsia="Arial" w:hAnsi="Arial"/>
                <w:sz w:val="13"/>
                <w:szCs w:val="13"/>
                <w:color w:val="auto"/>
              </w:rPr>
              <w:t>Issuance of</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240"/>
              <w:spacing w:after="0"/>
              <w:rPr>
                <w:sz w:val="20"/>
                <w:szCs w:val="20"/>
                <w:color w:val="auto"/>
              </w:rPr>
            </w:pPr>
            <w:r>
              <w:rPr>
                <w:rFonts w:ascii="Arial" w:cs="Arial" w:eastAsia="Arial" w:hAnsi="Arial"/>
                <w:sz w:val="13"/>
                <w:szCs w:val="13"/>
                <w:color w:val="auto"/>
              </w:rPr>
              <w:t>series AA</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240"/>
              <w:spacing w:after="0"/>
              <w:rPr>
                <w:sz w:val="20"/>
                <w:szCs w:val="20"/>
                <w:color w:val="auto"/>
              </w:rPr>
            </w:pPr>
            <w:r>
              <w:rPr>
                <w:rFonts w:ascii="Arial" w:cs="Arial" w:eastAsia="Arial" w:hAnsi="Arial"/>
                <w:sz w:val="13"/>
                <w:szCs w:val="13"/>
                <w:color w:val="auto"/>
              </w:rPr>
              <w:t>preferred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tcPr>
          <w:p>
            <w:pPr>
              <w:ind w:left="240"/>
              <w:spacing w:after="0"/>
              <w:rPr>
                <w:sz w:val="20"/>
                <w:szCs w:val="20"/>
                <w:color w:val="auto"/>
              </w:rPr>
            </w:pPr>
            <w:r>
              <w:rPr>
                <w:rFonts w:ascii="Arial" w:cs="Arial" w:eastAsia="Arial" w:hAnsi="Arial"/>
                <w:sz w:val="13"/>
                <w:szCs w:val="13"/>
                <w:color w:val="auto"/>
              </w:rPr>
              <w:t>stock</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128,655,262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10,567</w:t>
            </w:r>
          </w:p>
        </w:tc>
        <w:tc>
          <w:tcPr>
            <w:tcW w:w="12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Issuance of</w:t>
            </w: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common</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warrants</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634,118</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080" w:type="dxa"/>
            <w:vAlign w:val="bottom"/>
          </w:tcPr>
          <w:p>
            <w:pPr>
              <w:ind w:left="240"/>
              <w:spacing w:after="0"/>
              <w:rPr>
                <w:sz w:val="20"/>
                <w:szCs w:val="20"/>
                <w:color w:val="auto"/>
              </w:rPr>
            </w:pPr>
            <w:r>
              <w:rPr>
                <w:rFonts w:ascii="Arial" w:cs="Arial" w:eastAsia="Arial" w:hAnsi="Arial"/>
                <w:sz w:val="13"/>
                <w:szCs w:val="13"/>
                <w:color w:val="auto"/>
              </w:rPr>
              <w:t>Net loss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(4,692)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(4,692)</w:t>
            </w:r>
          </w:p>
        </w:tc>
        <w:tc>
          <w:tcPr>
            <w:tcW w:w="0" w:type="dxa"/>
            <w:vAlign w:val="bottom"/>
          </w:tcPr>
          <w:p>
            <w:pPr>
              <w:spacing w:after="0"/>
              <w:rPr>
                <w:sz w:val="1"/>
                <w:szCs w:val="1"/>
                <w:color w:val="auto"/>
              </w:rPr>
            </w:pPr>
          </w:p>
        </w:tc>
      </w:tr>
      <w:tr>
        <w:trPr>
          <w:trHeight w:val="143"/>
        </w:trPr>
        <w:tc>
          <w:tcPr>
            <w:tcW w:w="10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at</w:t>
            </w:r>
          </w:p>
        </w:tc>
        <w:tc>
          <w:tcPr>
            <w:tcW w:w="7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March 31, 2020</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527,138,337</w:t>
            </w:r>
          </w:p>
        </w:tc>
        <w:tc>
          <w:tcPr>
            <w:tcW w:w="60" w:type="dxa"/>
            <w:vAlign w:val="bottom"/>
            <w:shd w:val="clear" w:color="auto" w:fill="CFF0FC"/>
          </w:tcPr>
          <w:p>
            <w:pPr>
              <w:spacing w:after="0"/>
              <w:rPr>
                <w:sz w:val="14"/>
                <w:szCs w:val="14"/>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43,297</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1,482,748</w:t>
            </w:r>
          </w:p>
        </w:tc>
        <w:tc>
          <w:tcPr>
            <w:tcW w:w="8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ind w:left="10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54,115</w:t>
            </w:r>
          </w:p>
        </w:tc>
        <w:tc>
          <w:tcPr>
            <w:tcW w:w="8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(97,004)</w:t>
            </w:r>
          </w:p>
        </w:tc>
        <w:tc>
          <w:tcPr>
            <w:tcW w:w="18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(42,889)</w:t>
            </w:r>
          </w:p>
        </w:tc>
        <w:tc>
          <w:tcPr>
            <w:tcW w:w="0" w:type="dxa"/>
            <w:vAlign w:val="bottom"/>
          </w:tcPr>
          <w:p>
            <w:pPr>
              <w:spacing w:after="0"/>
              <w:rPr>
                <w:sz w:val="1"/>
                <w:szCs w:val="1"/>
                <w:color w:val="auto"/>
              </w:rPr>
            </w:pPr>
          </w:p>
        </w:tc>
      </w:tr>
      <w:tr>
        <w:trPr>
          <w:trHeight w:val="145"/>
        </w:trPr>
        <w:tc>
          <w:tcPr>
            <w:tcW w:w="1080" w:type="dxa"/>
            <w:vAlign w:val="bottom"/>
          </w:tcPr>
          <w:p>
            <w:pPr>
              <w:ind w:left="240"/>
              <w:spacing w:after="0" w:line="145" w:lineRule="exact"/>
              <w:rPr>
                <w:sz w:val="20"/>
                <w:szCs w:val="20"/>
                <w:color w:val="auto"/>
              </w:rPr>
            </w:pPr>
            <w:r>
              <w:rPr>
                <w:rFonts w:ascii="Arial" w:cs="Arial" w:eastAsia="Arial" w:hAnsi="Arial"/>
                <w:sz w:val="13"/>
                <w:szCs w:val="13"/>
                <w:color w:val="auto"/>
              </w:rPr>
              <w:t>Stock-based</w:t>
            </w: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240"/>
              <w:spacing w:after="0"/>
              <w:rPr>
                <w:sz w:val="20"/>
                <w:szCs w:val="20"/>
                <w:color w:val="auto"/>
              </w:rPr>
            </w:pPr>
            <w:r>
              <w:rPr>
                <w:rFonts w:ascii="Arial" w:cs="Arial" w:eastAsia="Arial" w:hAnsi="Arial"/>
                <w:sz w:val="13"/>
                <w:szCs w:val="13"/>
                <w:color w:val="auto"/>
              </w:rPr>
              <w:t>compensation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tcPr>
          <w:p>
            <w:pPr>
              <w:ind w:left="340"/>
              <w:spacing w:after="0"/>
              <w:rPr>
                <w:sz w:val="20"/>
                <w:szCs w:val="20"/>
                <w:color w:val="auto"/>
              </w:rPr>
            </w:pPr>
            <w:r>
              <w:rPr>
                <w:rFonts w:ascii="Arial" w:cs="Arial" w:eastAsia="Arial" w:hAnsi="Arial"/>
                <w:sz w:val="13"/>
                <w:szCs w:val="13"/>
                <w:color w:val="auto"/>
              </w:rPr>
              <w:t>expense</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Issuance of</w:t>
            </w: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common</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 related</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to Alvaxa</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acquisition</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304,376</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541</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40"/>
              <w:spacing w:after="0"/>
              <w:rPr>
                <w:sz w:val="20"/>
                <w:szCs w:val="20"/>
                <w:color w:val="auto"/>
              </w:rPr>
            </w:pPr>
            <w:r>
              <w:rPr>
                <w:rFonts w:ascii="Arial" w:cs="Arial" w:eastAsia="Arial" w:hAnsi="Arial"/>
                <w:sz w:val="13"/>
                <w:szCs w:val="13"/>
                <w:color w:val="auto"/>
              </w:rPr>
              <w:t>Net loss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(4,910)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(4,910)</w:t>
            </w:r>
          </w:p>
        </w:tc>
        <w:tc>
          <w:tcPr>
            <w:tcW w:w="0" w:type="dxa"/>
            <w:vAlign w:val="bottom"/>
          </w:tcPr>
          <w:p>
            <w:pPr>
              <w:spacing w:after="0"/>
              <w:rPr>
                <w:sz w:val="1"/>
                <w:szCs w:val="1"/>
                <w:color w:val="auto"/>
              </w:rPr>
            </w:pPr>
          </w:p>
        </w:tc>
      </w:tr>
      <w:tr>
        <w:trPr>
          <w:trHeight w:val="143"/>
        </w:trPr>
        <w:tc>
          <w:tcPr>
            <w:tcW w:w="10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at June</w:t>
            </w:r>
          </w:p>
        </w:tc>
        <w:tc>
          <w:tcPr>
            <w:tcW w:w="7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30, 2020</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527,138,337</w:t>
            </w:r>
          </w:p>
        </w:tc>
        <w:tc>
          <w:tcPr>
            <w:tcW w:w="60" w:type="dxa"/>
            <w:vAlign w:val="bottom"/>
            <w:shd w:val="clear" w:color="auto" w:fill="CFF0FC"/>
          </w:tcPr>
          <w:p>
            <w:pPr>
              <w:spacing w:after="0"/>
              <w:rPr>
                <w:sz w:val="14"/>
                <w:szCs w:val="14"/>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43,297</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1,787,124</w:t>
            </w:r>
          </w:p>
        </w:tc>
        <w:tc>
          <w:tcPr>
            <w:tcW w:w="8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ind w:left="10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54,819</w:t>
            </w:r>
          </w:p>
        </w:tc>
        <w:tc>
          <w:tcPr>
            <w:tcW w:w="8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90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(101,914) $</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(47,095)</w:t>
            </w: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Balance at</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80" w:type="dxa"/>
            <w:vAlign w:val="bottom"/>
            <w:tcBorders>
              <w:bottom w:val="single" w:sz="8" w:color="CFF0FC"/>
            </w:tcBorders>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20"/>
                <w:szCs w:val="20"/>
                <w:color w:val="auto"/>
              </w:rPr>
            </w:pPr>
            <w:r>
              <w:rPr>
                <w:rFonts w:ascii="Arial" w:cs="Arial" w:eastAsia="Arial" w:hAnsi="Arial"/>
                <w:sz w:val="13"/>
                <w:szCs w:val="13"/>
                <w:b w:val="1"/>
                <w:bCs w:val="1"/>
                <w:color w:val="auto"/>
              </w:rPr>
              <w:t>December</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80" w:type="dxa"/>
            <w:vAlign w:val="bottom"/>
          </w:tcPr>
          <w:p>
            <w:pPr>
              <w:spacing w:after="0"/>
              <w:rPr>
                <w:sz w:val="20"/>
                <w:szCs w:val="20"/>
                <w:color w:val="auto"/>
              </w:rPr>
            </w:pPr>
            <w:r>
              <w:rPr>
                <w:rFonts w:ascii="Arial" w:cs="Arial" w:eastAsia="Arial" w:hAnsi="Arial"/>
                <w:sz w:val="13"/>
                <w:szCs w:val="13"/>
                <w:b w:val="1"/>
                <w:bCs w:val="1"/>
                <w:color w:val="auto"/>
              </w:rPr>
              <w:t>31, 2020</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747,683,172</w:t>
            </w:r>
          </w:p>
        </w:tc>
        <w:tc>
          <w:tcPr>
            <w:tcW w:w="60" w:type="dxa"/>
            <w:vAlign w:val="bottom"/>
          </w:tcPr>
          <w:p>
            <w:pPr>
              <w:spacing w:after="0"/>
              <w:rPr>
                <w:sz w:val="14"/>
                <w:szCs w:val="14"/>
                <w:color w:val="auto"/>
              </w:rPr>
            </w:pP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61,411</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52,680,306</w:t>
            </w:r>
          </w:p>
        </w:tc>
        <w:tc>
          <w:tcPr>
            <w:tcW w:w="80" w:type="dxa"/>
            <w:vAlign w:val="bottom"/>
          </w:tcPr>
          <w:p>
            <w:pPr>
              <w:spacing w:after="0"/>
              <w:rPr>
                <w:sz w:val="14"/>
                <w:szCs w:val="14"/>
                <w:color w:val="auto"/>
              </w:rPr>
            </w:pP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10,925</w:t>
            </w: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1,875,422</w:t>
            </w:r>
          </w:p>
        </w:tc>
        <w:tc>
          <w:tcPr>
            <w:tcW w:w="8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55,969</w:t>
            </w:r>
          </w:p>
        </w:tc>
        <w:tc>
          <w:tcPr>
            <w:tcW w:w="80" w:type="dxa"/>
            <w:vAlign w:val="bottom"/>
          </w:tcPr>
          <w:p>
            <w:pPr>
              <w:spacing w:after="0"/>
              <w:rPr>
                <w:sz w:val="14"/>
                <w:szCs w:val="14"/>
                <w:color w:val="auto"/>
              </w:rPr>
            </w:pP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(112,412)</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(56,443)</w:t>
            </w:r>
          </w:p>
        </w:tc>
        <w:tc>
          <w:tcPr>
            <w:tcW w:w="0" w:type="dxa"/>
            <w:vAlign w:val="bottom"/>
          </w:tcPr>
          <w:p>
            <w:pPr>
              <w:spacing w:after="0"/>
              <w:rPr>
                <w:sz w:val="1"/>
                <w:szCs w:val="1"/>
                <w:color w:val="auto"/>
              </w:rPr>
            </w:pPr>
          </w:p>
        </w:tc>
      </w:tr>
      <w:tr>
        <w:trPr>
          <w:trHeight w:val="145"/>
        </w:trPr>
        <w:tc>
          <w:tcPr>
            <w:tcW w:w="1080" w:type="dxa"/>
            <w:vAlign w:val="bottom"/>
            <w:tcBorders>
              <w:top w:val="single" w:sz="8" w:color="CFF0FC"/>
            </w:tcBorders>
            <w:shd w:val="clear" w:color="auto" w:fill="CFF0FC"/>
          </w:tcPr>
          <w:p>
            <w:pPr>
              <w:ind w:left="240"/>
              <w:spacing w:after="0" w:line="145" w:lineRule="exact"/>
              <w:rPr>
                <w:sz w:val="20"/>
                <w:szCs w:val="20"/>
                <w:color w:val="auto"/>
              </w:rPr>
            </w:pPr>
            <w:r>
              <w:rPr>
                <w:rFonts w:ascii="Arial" w:cs="Arial" w:eastAsia="Arial" w:hAnsi="Arial"/>
                <w:sz w:val="13"/>
                <w:szCs w:val="13"/>
                <w:color w:val="auto"/>
              </w:rPr>
              <w:t>Stock-based</w:t>
            </w:r>
          </w:p>
        </w:tc>
        <w:tc>
          <w:tcPr>
            <w:tcW w:w="7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compensation</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expense</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1,349</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ind w:left="240"/>
              <w:spacing w:after="0"/>
              <w:rPr>
                <w:sz w:val="20"/>
                <w:szCs w:val="20"/>
                <w:color w:val="auto"/>
              </w:rPr>
            </w:pPr>
            <w:r>
              <w:rPr>
                <w:rFonts w:ascii="Arial" w:cs="Arial" w:eastAsia="Arial" w:hAnsi="Arial"/>
                <w:sz w:val="13"/>
                <w:szCs w:val="13"/>
                <w:color w:val="auto"/>
              </w:rPr>
              <w:t>Issuance of</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240"/>
              <w:spacing w:after="0"/>
              <w:rPr>
                <w:sz w:val="20"/>
                <w:szCs w:val="20"/>
                <w:color w:val="auto"/>
              </w:rPr>
            </w:pPr>
            <w:r>
              <w:rPr>
                <w:rFonts w:ascii="Arial" w:cs="Arial" w:eastAsia="Arial" w:hAnsi="Arial"/>
                <w:sz w:val="13"/>
                <w:szCs w:val="13"/>
                <w:color w:val="auto"/>
              </w:rPr>
              <w:t>series BB</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240"/>
              <w:spacing w:after="0"/>
              <w:rPr>
                <w:sz w:val="20"/>
                <w:szCs w:val="20"/>
                <w:color w:val="auto"/>
              </w:rPr>
            </w:pPr>
            <w:r>
              <w:rPr>
                <w:rFonts w:ascii="Arial" w:cs="Arial" w:eastAsia="Arial" w:hAnsi="Arial"/>
                <w:sz w:val="13"/>
                <w:szCs w:val="13"/>
                <w:color w:val="auto"/>
              </w:rPr>
              <w:t>preferred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tcPr>
          <w:p>
            <w:pPr>
              <w:ind w:left="240"/>
              <w:spacing w:after="0"/>
              <w:rPr>
                <w:sz w:val="20"/>
                <w:szCs w:val="20"/>
                <w:color w:val="auto"/>
              </w:rPr>
            </w:pPr>
            <w:r>
              <w:rPr>
                <w:rFonts w:ascii="Arial" w:cs="Arial" w:eastAsia="Arial" w:hAnsi="Arial"/>
                <w:sz w:val="13"/>
                <w:szCs w:val="13"/>
                <w:color w:val="auto"/>
              </w:rPr>
              <w:t>stock</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113,275,902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23,491</w:t>
            </w: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Conversion</w:t>
            </w: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of preferred</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 to</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common</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upon closing</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of the initial</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public</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offering</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(747,683,172)</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4"/>
              </w:rPr>
              <w:t>(61,411)</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(165,956,208)</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tcBorders>
              <w:right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w w:val="94"/>
              </w:rPr>
              <w:t>(34,416)</w:t>
            </w: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19,034,069</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95,826</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95,828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ind w:left="240"/>
              <w:spacing w:after="0"/>
              <w:rPr>
                <w:sz w:val="20"/>
                <w:szCs w:val="20"/>
                <w:color w:val="auto"/>
              </w:rPr>
            </w:pPr>
            <w:r>
              <w:rPr>
                <w:rFonts w:ascii="Arial" w:cs="Arial" w:eastAsia="Arial" w:hAnsi="Arial"/>
                <w:sz w:val="13"/>
                <w:szCs w:val="13"/>
                <w:color w:val="auto"/>
              </w:rPr>
              <w:t>Issuance of</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240"/>
              <w:spacing w:after="0"/>
              <w:rPr>
                <w:sz w:val="20"/>
                <w:szCs w:val="20"/>
                <w:color w:val="auto"/>
              </w:rPr>
            </w:pPr>
            <w:r>
              <w:rPr>
                <w:rFonts w:ascii="Arial" w:cs="Arial" w:eastAsia="Arial" w:hAnsi="Arial"/>
                <w:sz w:val="13"/>
                <w:szCs w:val="13"/>
                <w:color w:val="auto"/>
              </w:rPr>
              <w:t>common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240"/>
              <w:spacing w:after="0"/>
              <w:rPr>
                <w:sz w:val="20"/>
                <w:szCs w:val="20"/>
                <w:color w:val="auto"/>
              </w:rPr>
            </w:pPr>
            <w:r>
              <w:rPr>
                <w:rFonts w:ascii="Arial" w:cs="Arial" w:eastAsia="Arial" w:hAnsi="Arial"/>
                <w:sz w:val="13"/>
                <w:szCs w:val="13"/>
                <w:color w:val="auto"/>
              </w:rPr>
              <w:t>stock, net of</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240"/>
              <w:spacing w:after="0"/>
              <w:rPr>
                <w:sz w:val="20"/>
                <w:szCs w:val="20"/>
                <w:color w:val="auto"/>
              </w:rPr>
            </w:pPr>
            <w:r>
              <w:rPr>
                <w:rFonts w:ascii="Arial" w:cs="Arial" w:eastAsia="Arial" w:hAnsi="Arial"/>
                <w:sz w:val="13"/>
                <w:szCs w:val="13"/>
                <w:color w:val="auto"/>
              </w:rPr>
              <w:t>issuance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tcPr>
          <w:p>
            <w:pPr>
              <w:ind w:left="240"/>
              <w:spacing w:after="0"/>
              <w:rPr>
                <w:sz w:val="20"/>
                <w:szCs w:val="20"/>
                <w:color w:val="auto"/>
              </w:rPr>
            </w:pPr>
            <w:r>
              <w:rPr>
                <w:rFonts w:ascii="Arial" w:cs="Arial" w:eastAsia="Arial" w:hAnsi="Arial"/>
                <w:sz w:val="13"/>
                <w:szCs w:val="13"/>
                <w:color w:val="auto"/>
              </w:rPr>
              <w:t>costs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8,030,295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138,488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138,489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Issuance of</w:t>
            </w: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common</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warrants</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1,648,709</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40"/>
              <w:spacing w:after="0"/>
              <w:rPr>
                <w:sz w:val="20"/>
                <w:szCs w:val="20"/>
                <w:color w:val="auto"/>
              </w:rPr>
            </w:pPr>
            <w:r>
              <w:rPr>
                <w:rFonts w:ascii="Arial" w:cs="Arial" w:eastAsia="Arial" w:hAnsi="Arial"/>
                <w:sz w:val="13"/>
                <w:szCs w:val="13"/>
                <w:color w:val="auto"/>
              </w:rPr>
              <w:t>Net loss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(7,972)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(7,972)</w:t>
            </w:r>
          </w:p>
        </w:tc>
        <w:tc>
          <w:tcPr>
            <w:tcW w:w="0" w:type="dxa"/>
            <w:vAlign w:val="bottom"/>
          </w:tcPr>
          <w:p>
            <w:pPr>
              <w:spacing w:after="0"/>
              <w:rPr>
                <w:sz w:val="1"/>
                <w:szCs w:val="1"/>
                <w:color w:val="auto"/>
              </w:rPr>
            </w:pPr>
          </w:p>
        </w:tc>
      </w:tr>
      <w:tr>
        <w:trPr>
          <w:trHeight w:val="143"/>
        </w:trPr>
        <w:tc>
          <w:tcPr>
            <w:tcW w:w="10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at</w:t>
            </w:r>
          </w:p>
        </w:tc>
        <w:tc>
          <w:tcPr>
            <w:tcW w:w="7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March 31, 2021</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30,588,495</w:t>
            </w:r>
          </w:p>
        </w:tc>
        <w:tc>
          <w:tcPr>
            <w:tcW w:w="8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60" w:type="dxa"/>
            <w:vAlign w:val="bottom"/>
            <w:gridSpan w:val="2"/>
            <w:shd w:val="clear" w:color="auto" w:fill="CFF0FC"/>
          </w:tcPr>
          <w:p>
            <w:pPr>
              <w:ind w:left="10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291,633</w:t>
            </w:r>
          </w:p>
        </w:tc>
        <w:tc>
          <w:tcPr>
            <w:tcW w:w="8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90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(120,384) $</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171,252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080" w:type="dxa"/>
            <w:vAlign w:val="bottom"/>
          </w:tcPr>
          <w:p>
            <w:pPr>
              <w:ind w:left="240"/>
              <w:spacing w:after="0" w:line="145" w:lineRule="exact"/>
              <w:rPr>
                <w:sz w:val="20"/>
                <w:szCs w:val="20"/>
                <w:color w:val="auto"/>
              </w:rPr>
            </w:pPr>
            <w:r>
              <w:rPr>
                <w:rFonts w:ascii="Arial" w:cs="Arial" w:eastAsia="Arial" w:hAnsi="Arial"/>
                <w:sz w:val="13"/>
                <w:szCs w:val="13"/>
                <w:color w:val="auto"/>
              </w:rPr>
              <w:t>Stock-based</w:t>
            </w: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240"/>
              <w:spacing w:after="0"/>
              <w:rPr>
                <w:sz w:val="20"/>
                <w:szCs w:val="20"/>
                <w:color w:val="auto"/>
              </w:rPr>
            </w:pPr>
            <w:r>
              <w:rPr>
                <w:rFonts w:ascii="Arial" w:cs="Arial" w:eastAsia="Arial" w:hAnsi="Arial"/>
                <w:sz w:val="13"/>
                <w:szCs w:val="13"/>
                <w:color w:val="auto"/>
              </w:rPr>
              <w:t>compensation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tcPr>
          <w:p>
            <w:pPr>
              <w:ind w:left="340"/>
              <w:spacing w:after="0"/>
              <w:rPr>
                <w:sz w:val="20"/>
                <w:szCs w:val="20"/>
                <w:color w:val="auto"/>
              </w:rPr>
            </w:pPr>
            <w:r>
              <w:rPr>
                <w:rFonts w:ascii="Arial" w:cs="Arial" w:eastAsia="Arial" w:hAnsi="Arial"/>
                <w:sz w:val="13"/>
                <w:szCs w:val="13"/>
                <w:color w:val="auto"/>
              </w:rPr>
              <w:t>expense</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1,745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Unrealized</w:t>
            </w: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loss on</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marketable</w:t>
            </w: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securities</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(101)</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62"/>
        </w:trPr>
        <w:tc>
          <w:tcPr>
            <w:tcW w:w="1080" w:type="dxa"/>
            <w:vAlign w:val="bottom"/>
          </w:tcPr>
          <w:p>
            <w:pPr>
              <w:ind w:left="240"/>
              <w:spacing w:after="0"/>
              <w:rPr>
                <w:sz w:val="20"/>
                <w:szCs w:val="20"/>
                <w:color w:val="auto"/>
              </w:rPr>
            </w:pPr>
            <w:r>
              <w:rPr>
                <w:rFonts w:ascii="Arial" w:cs="Arial" w:eastAsia="Arial" w:hAnsi="Arial"/>
                <w:sz w:val="13"/>
                <w:szCs w:val="13"/>
                <w:color w:val="auto"/>
              </w:rPr>
              <w:t>Net loss</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(9,771)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(9,771)</w:t>
            </w:r>
          </w:p>
        </w:tc>
        <w:tc>
          <w:tcPr>
            <w:tcW w:w="0" w:type="dxa"/>
            <w:vAlign w:val="bottom"/>
          </w:tcPr>
          <w:p>
            <w:pPr>
              <w:spacing w:after="0"/>
              <w:rPr>
                <w:sz w:val="1"/>
                <w:szCs w:val="1"/>
                <w:color w:val="auto"/>
              </w:rPr>
            </w:pPr>
          </w:p>
        </w:tc>
      </w:tr>
      <w:tr>
        <w:trPr>
          <w:trHeight w:val="143"/>
        </w:trPr>
        <w:tc>
          <w:tcPr>
            <w:tcW w:w="10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at June</w:t>
            </w:r>
          </w:p>
        </w:tc>
        <w:tc>
          <w:tcPr>
            <w:tcW w:w="7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30, 2021</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30,588,495</w:t>
            </w:r>
          </w:p>
        </w:tc>
        <w:tc>
          <w:tcPr>
            <w:tcW w:w="8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60" w:type="dxa"/>
            <w:vAlign w:val="bottom"/>
            <w:gridSpan w:val="2"/>
            <w:shd w:val="clear" w:color="auto" w:fill="CFF0FC"/>
          </w:tcPr>
          <w:p>
            <w:pPr>
              <w:ind w:left="10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293,379</w:t>
            </w:r>
          </w:p>
        </w:tc>
        <w:tc>
          <w:tcPr>
            <w:tcW w:w="8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90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(130,155) $</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(101)</w:t>
            </w: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163,125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0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00"/>
          </w:cols>
          <w:pgMar w:left="340" w:top="334" w:right="359" w:bottom="10" w:gutter="0" w:footer="0" w:header="0"/>
        </w:sectPr>
      </w:pPr>
    </w:p>
    <w:bookmarkStart w:id="5" w:name="page6"/>
    <w:bookmarkEnd w:id="5"/>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SENSEI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55"/>
        </w:trPr>
        <w:tc>
          <w:tcPr>
            <w:tcW w:w="728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0"/>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(17,743)</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(9,602)</w:t>
            </w: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3,095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Accretion on debt</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on marketable securities</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tcPr>
          <w:p>
            <w:pPr>
              <w:ind w:left="260"/>
              <w:spacing w:after="0"/>
              <w:rPr>
                <w:sz w:val="20"/>
                <w:szCs w:val="20"/>
                <w:color w:val="auto"/>
              </w:rPr>
            </w:pPr>
            <w:r>
              <w:rPr>
                <w:rFonts w:ascii="Arial" w:cs="Arial" w:eastAsia="Arial" w:hAnsi="Arial"/>
                <w:sz w:val="18"/>
                <w:szCs w:val="18"/>
                <w:color w:val="auto"/>
              </w:rPr>
              <w:t>Fair value adjustments on embedded debt derivatives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on capital lease</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7280" w:type="dxa"/>
            <w:vAlign w:val="bottom"/>
          </w:tcPr>
          <w:p>
            <w:pPr>
              <w:ind w:left="260"/>
              <w:spacing w:after="0"/>
              <w:rPr>
                <w:sz w:val="20"/>
                <w:szCs w:val="20"/>
                <w:color w:val="auto"/>
              </w:rPr>
            </w:pPr>
            <w:r>
              <w:rPr>
                <w:rFonts w:ascii="Arial" w:cs="Arial" w:eastAsia="Arial" w:hAnsi="Arial"/>
                <w:sz w:val="18"/>
                <w:szCs w:val="18"/>
                <w:color w:val="auto"/>
              </w:rPr>
              <w:t>Issuance of common stock for Alvaxa acquisition</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fixed asset disposition</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Gain on debt extinguishment</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Deposits</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728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interest</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liabilities</w:t>
            </w:r>
          </w:p>
        </w:tc>
        <w:tc>
          <w:tcPr>
            <w:tcW w:w="5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238</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(9,227)</w:t>
            </w:r>
          </w:p>
        </w:tc>
        <w:tc>
          <w:tcPr>
            <w:tcW w:w="0" w:type="dxa"/>
            <w:vAlign w:val="bottom"/>
          </w:tcPr>
          <w:p>
            <w:pPr>
              <w:spacing w:after="0"/>
              <w:rPr>
                <w:sz w:val="1"/>
                <w:szCs w:val="1"/>
                <w:color w:val="auto"/>
              </w:rPr>
            </w:pPr>
          </w:p>
        </w:tc>
      </w:tr>
      <w:tr>
        <w:trPr>
          <w:trHeight w:val="229"/>
        </w:trPr>
        <w:tc>
          <w:tcPr>
            <w:tcW w:w="72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Purchases of short-term investments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(147,145)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Alvaxa IPR&amp;D acquisition</w:t>
            </w:r>
          </w:p>
        </w:tc>
        <w:tc>
          <w:tcPr>
            <w:tcW w:w="5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(148,248)</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Proceeds from the PPP loan</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exercise of common stock warrants and options</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Capital lease payments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on the issuance of series AA convertible preferred stock</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10,567</w:t>
            </w: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w w:val="97"/>
              </w:rPr>
              <w:t>Proceeds from issuance of common stock upon initial public offering, net of issuance costs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140,594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on the issuance of series BB convertible preferred stock</w:t>
            </w:r>
          </w:p>
        </w:tc>
        <w:tc>
          <w:tcPr>
            <w:tcW w:w="5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23,491</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164,065</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11,113</w:t>
            </w: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16,596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15,599</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0"/>
        </w:trPr>
        <w:tc>
          <w:tcPr>
            <w:tcW w:w="7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Supplemental disclosure of noncash financing and investing information:</w:t>
            </w:r>
          </w:p>
        </w:tc>
        <w:tc>
          <w:tcPr>
            <w:tcW w:w="5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additions included in accounts payable and accrued liabilities</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Issuance costs included in accounts payable and accrued liabilities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534</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Interest on financing</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Conversion of series A, B, C, D, E, F convertible preferred stock into common stock</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47,545</w:t>
            </w:r>
          </w:p>
        </w:tc>
        <w:tc>
          <w:tcPr>
            <w:tcW w:w="0" w:type="dxa"/>
            <w:vAlign w:val="bottom"/>
          </w:tcPr>
          <w:p>
            <w:pPr>
              <w:spacing w:after="0"/>
              <w:rPr>
                <w:sz w:val="1"/>
                <w:szCs w:val="1"/>
                <w:color w:val="auto"/>
              </w:rPr>
            </w:pPr>
          </w:p>
        </w:tc>
      </w:tr>
      <w:tr>
        <w:trPr>
          <w:trHeight w:val="243"/>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Conversion of series AA and BB convertible preferred stock into common stock</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95,826</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Conversion of common stock into series AA convertible preferred stock</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17,274</w:t>
            </w:r>
          </w:p>
        </w:tc>
        <w:tc>
          <w:tcPr>
            <w:tcW w:w="0" w:type="dxa"/>
            <w:vAlign w:val="bottom"/>
          </w:tcPr>
          <w:p>
            <w:pPr>
              <w:spacing w:after="0"/>
              <w:rPr>
                <w:sz w:val="1"/>
                <w:szCs w:val="1"/>
                <w:color w:val="auto"/>
              </w:rPr>
            </w:pPr>
          </w:p>
        </w:tc>
      </w:tr>
      <w:tr>
        <w:trPr>
          <w:trHeight w:val="243"/>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issued in exchange for note redemption</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15,456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SENSEI BIOTHERAPEUTICS,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200" w:right="7940" w:hanging="192"/>
        <w:spacing w:after="0" w:line="377" w:lineRule="auto"/>
        <w:tabs>
          <w:tab w:leader="none" w:pos="19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OPERATIONS </w:t>
      </w:r>
      <w:r>
        <w:rPr>
          <w:rFonts w:ascii="Arial" w:cs="Arial" w:eastAsia="Arial" w:hAnsi="Arial"/>
          <w:sz w:val="18"/>
          <w:szCs w:val="18"/>
          <w:b w:val="1"/>
          <w:bCs w:val="1"/>
          <w:i w:val="1"/>
          <w:iCs w:val="1"/>
          <w:color w:val="auto"/>
        </w:rPr>
        <w:t>Business</w:t>
      </w:r>
    </w:p>
    <w:p>
      <w:pPr>
        <w:spacing w:after="0" w:line="2" w:lineRule="exact"/>
        <w:rPr>
          <w:sz w:val="20"/>
          <w:szCs w:val="20"/>
          <w:color w:val="auto"/>
        </w:rPr>
      </w:pPr>
    </w:p>
    <w:p>
      <w:pPr>
        <w:ind w:right="180" w:firstLine="382"/>
        <w:spacing w:after="0" w:line="263" w:lineRule="auto"/>
        <w:rPr>
          <w:sz w:val="20"/>
          <w:szCs w:val="20"/>
          <w:color w:val="auto"/>
        </w:rPr>
      </w:pPr>
      <w:r>
        <w:rPr>
          <w:rFonts w:ascii="Arial" w:cs="Arial" w:eastAsia="Arial" w:hAnsi="Arial"/>
          <w:sz w:val="18"/>
          <w:szCs w:val="18"/>
          <w:color w:val="auto"/>
        </w:rPr>
        <w:t>Sensei Biotherapeutics, Inc. (the “Company” or “Sensei”) is a biopharmaceutical company that was incorporated in 1999 as a Maryland corporation until incorporated in Delaware on December 1, 2017. The Company is engaged in the discovery development and delivery of next generation immunotherapies with an initial focus on treatments for cancer.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 w:firstLine="382"/>
        <w:spacing w:after="0" w:line="289" w:lineRule="auto"/>
        <w:rPr>
          <w:sz w:val="20"/>
          <w:szCs w:val="20"/>
          <w:color w:val="auto"/>
        </w:rPr>
      </w:pPr>
      <w:r>
        <w:rPr>
          <w:rFonts w:ascii="Arial" w:cs="Arial" w:eastAsia="Arial" w:hAnsi="Arial"/>
          <w:sz w:val="16"/>
          <w:szCs w:val="16"/>
          <w:color w:val="auto"/>
        </w:rPr>
        <w:t>Since its inception, the Company has devoted substantially all of its resources to advancing development of its portfolio of programs, establishing and protecting its intellectual property, conducting research and development activities, organizing and staffing the Company, business planning, raising capital and providing general and administrative support for these operations.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66" w:lineRule="exact"/>
        <w:rPr>
          <w:sz w:val="20"/>
          <w:szCs w:val="20"/>
          <w:color w:val="auto"/>
        </w:rPr>
      </w:pPr>
    </w:p>
    <w:p>
      <w:pPr>
        <w:ind w:right="80" w:firstLine="382"/>
        <w:spacing w:after="0" w:line="263" w:lineRule="auto"/>
        <w:rPr>
          <w:sz w:val="20"/>
          <w:szCs w:val="20"/>
          <w:color w:val="auto"/>
        </w:rPr>
      </w:pPr>
      <w:r>
        <w:rPr>
          <w:rFonts w:ascii="Arial" w:cs="Arial" w:eastAsia="Arial" w:hAnsi="Arial"/>
          <w:sz w:val="18"/>
          <w:szCs w:val="18"/>
          <w:color w:val="auto"/>
        </w:rPr>
        <w:t>Since its inception, the Company has incurred substantial losses and had a net loss of $17.7 million for the six months ended June 30, 2021. As of June 30, 2021, the Company had an accumulated deficit of $130.2 million. The Company expects to generate operating losses and negative operating cash flows for the foreseeable future.</w:t>
      </w:r>
    </w:p>
    <w:p>
      <w:pPr>
        <w:spacing w:after="0" w:line="184" w:lineRule="exact"/>
        <w:rPr>
          <w:sz w:val="20"/>
          <w:szCs w:val="20"/>
          <w:color w:val="auto"/>
        </w:rPr>
      </w:pPr>
    </w:p>
    <w:p>
      <w:pPr>
        <w:jc w:val="both"/>
        <w:ind w:right="100" w:firstLine="382"/>
        <w:spacing w:after="0" w:line="263" w:lineRule="auto"/>
        <w:rPr>
          <w:sz w:val="20"/>
          <w:szCs w:val="20"/>
          <w:color w:val="auto"/>
        </w:rPr>
      </w:pPr>
      <w:r>
        <w:rPr>
          <w:rFonts w:ascii="Arial" w:cs="Arial" w:eastAsia="Arial" w:hAnsi="Arial"/>
          <w:sz w:val="18"/>
          <w:szCs w:val="18"/>
          <w:color w:val="auto"/>
        </w:rPr>
        <w:t>In February 2021, the Company completed its initial public offering (“IPO”), in which the Company issued and sold 8,030,295 shares of its common stock at a public offering price of $19.00 per share, for aggregate gross proceeds of $152.6 million. The Company received $138.5 million in net proceeds after deducting underwriting discounts and estimated offering expenses payable by the Company.</w:t>
      </w:r>
    </w:p>
    <w:p>
      <w:pPr>
        <w:spacing w:after="0" w:line="184" w:lineRule="exact"/>
        <w:rPr>
          <w:sz w:val="20"/>
          <w:szCs w:val="20"/>
          <w:color w:val="auto"/>
        </w:rPr>
      </w:pPr>
    </w:p>
    <w:p>
      <w:pPr>
        <w:ind w:right="300" w:firstLine="382"/>
        <w:spacing w:after="0" w:line="291" w:lineRule="auto"/>
        <w:rPr>
          <w:sz w:val="20"/>
          <w:szCs w:val="20"/>
          <w:color w:val="auto"/>
        </w:rPr>
      </w:pPr>
      <w:r>
        <w:rPr>
          <w:rFonts w:ascii="Arial" w:cs="Arial" w:eastAsia="Arial" w:hAnsi="Arial"/>
          <w:sz w:val="16"/>
          <w:szCs w:val="16"/>
          <w:color w:val="auto"/>
        </w:rPr>
        <w:t>The Company expects that its cash, cash equivalents and marketable securities, as of June 30, 2021 of $162.5 million will be sufficient to fund its operations for at least the next twelve months from the date of issuance of these financial statements. The Company will need additional financing to support its continuing operations and pursue its growth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firstLine="433"/>
        <w:spacing w:after="0" w:line="296" w:lineRule="auto"/>
        <w:rPr>
          <w:sz w:val="20"/>
          <w:szCs w:val="20"/>
          <w:color w:val="auto"/>
        </w:rPr>
      </w:pPr>
      <w:r>
        <w:rPr>
          <w:rFonts w:ascii="Arial" w:cs="Arial" w:eastAsia="Arial" w:hAnsi="Arial"/>
          <w:sz w:val="16"/>
          <w:szCs w:val="16"/>
          <w:color w:val="auto"/>
        </w:rPr>
        <w:t>On January 29, 2021, the Company effected a reverse stock split of the Company’s common stock on a 48-for-1 basis (the “Reverse Stock Split”). In connection with the Reverse Stock Split, the conversion ratio for the Company’s Series AA and Series BB convertible preferred stock was proportionately adjusted such that the common stock issuable upon conversion of such preferred stock was decreased in proportion to the Reverse Stock Split. Accordingly, all common stock share and per share amounts, as well as all preferred stock conversion ratios, for all periods presented in these financial statements have been retroactively adjusted, to reflect this reverse stock split and adjustment of the Series AA and BB convertible preferred stock conversion ratios.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left="200" w:right="6340" w:hanging="192"/>
        <w:spacing w:after="0" w:line="377" w:lineRule="auto"/>
        <w:tabs>
          <w:tab w:leader="none" w:pos="19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 and Principles of Consolidation</w:t>
      </w:r>
    </w:p>
    <w:p>
      <w:pPr>
        <w:spacing w:after="0" w:line="2" w:lineRule="exact"/>
        <w:rPr>
          <w:sz w:val="20"/>
          <w:szCs w:val="20"/>
          <w:color w:val="auto"/>
        </w:rPr>
      </w:pPr>
    </w:p>
    <w:p>
      <w:pPr>
        <w:ind w:right="60" w:firstLine="382"/>
        <w:spacing w:after="0" w:line="263" w:lineRule="auto"/>
        <w:rPr>
          <w:sz w:val="20"/>
          <w:szCs w:val="20"/>
          <w:color w:val="auto"/>
        </w:rPr>
      </w:pPr>
      <w:r>
        <w:rPr>
          <w:rFonts w:ascii="Arial" w:cs="Arial" w:eastAsia="Arial" w:hAnsi="Arial"/>
          <w:sz w:val="18"/>
          <w:szCs w:val="18"/>
          <w:color w:val="auto"/>
        </w:rPr>
        <w:t>The Company has prepared the accompanying condensed consolidated financial statements in conformity with generally accepted accounting principles in the United States (“US GAAP”). The condensed consolidated financial statements include those accounts of the Company and its subsidiaries after elimination of all intercompany accounts and transactions.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80" w:firstLine="382"/>
        <w:spacing w:after="0" w:line="296" w:lineRule="auto"/>
        <w:rPr>
          <w:sz w:val="20"/>
          <w:szCs w:val="20"/>
          <w:color w:val="auto"/>
        </w:rPr>
      </w:pPr>
      <w:r>
        <w:rPr>
          <w:rFonts w:ascii="Arial" w:cs="Arial" w:eastAsia="Arial" w:hAnsi="Arial"/>
          <w:sz w:val="16"/>
          <w:szCs w:val="16"/>
          <w:color w:val="auto"/>
        </w:rPr>
        <w:t>The condensed consolidated financial statements of the Company included herein have been prepared pursuant to the rules and regulations of the Securities and Exchange Commission (“SEC”). Certain information and note disclosures normally included in financial statements prepared in accordance with US GAAP have been condensed or omitted from these condensed consolidated financial statements, as is permitted by such rules and regulations. Accordingly, these condensed consolidated financial statements should be read in conjunction with the financial statements and notes thereto included in the Company’s Annual Report on Form 10-K. The results for any interim period are not necessarily indicative of results for any future period.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presented. Estimates are used for, but are not limited to, depreciation of equipment, the Company’s enterprise value, fair value of financial instruments, the Company’s ability to continue as a going concern and contingencies. Actual results may differ from those estimates.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right="40" w:firstLine="382"/>
        <w:spacing w:after="0" w:line="263" w:lineRule="auto"/>
        <w:rPr>
          <w:sz w:val="20"/>
          <w:szCs w:val="20"/>
          <w:color w:val="auto"/>
        </w:rPr>
      </w:pPr>
      <w:r>
        <w:rPr>
          <w:rFonts w:ascii="Arial" w:cs="Arial" w:eastAsia="Arial" w:hAnsi="Arial"/>
          <w:sz w:val="18"/>
          <w:szCs w:val="18"/>
          <w:color w:val="auto"/>
        </w:rPr>
        <w:t>The Company classifies deposits in banks, money market funds and cash invested temporarily in various instruments with maturities of three months or less at the time of purchase as cash and cash equivalents. At June 30, 2021, cash and cash equivalents included cash on deposit at commercial banks and a money market fund that invests in U.S. Government securities.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jc w:val="both"/>
        <w:ind w:right="20" w:firstLine="382"/>
        <w:spacing w:after="0" w:line="286" w:lineRule="auto"/>
        <w:rPr>
          <w:sz w:val="20"/>
          <w:szCs w:val="20"/>
          <w:color w:val="auto"/>
        </w:rPr>
      </w:pPr>
      <w:r>
        <w:rPr>
          <w:rFonts w:ascii="Arial" w:cs="Arial" w:eastAsia="Arial" w:hAnsi="Arial"/>
          <w:sz w:val="16"/>
          <w:szCs w:val="16"/>
          <w:color w:val="auto"/>
        </w:rPr>
        <w:t>Investments consist of marketable securities with original maturities greater than 90 days. The Company has classified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(level 2). Unrealized gains and losses are reported as the accumulated other comprehensive items in stockholders’ equity.</w:t>
      </w:r>
    </w:p>
    <w:p>
      <w:pPr>
        <w:spacing w:after="0" w:line="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Amortization and accretion of premiums and discounts are recorded in other income (expense). Realized gains or losses on debt securities are included in interest income or interest expense, respectively. If any adjustment to fair value reflects a decline in value of the investment, the Company considers all available evidence to evaluate the extent to which the decline is other than temporary and, if so, marks the investment to market on the Company’s statement of operations and comprehensive income (loss).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Accounting Standards Updates</w:t>
      </w:r>
    </w:p>
    <w:p>
      <w:pPr>
        <w:spacing w:after="0" w:line="117" w:lineRule="exact"/>
        <w:rPr>
          <w:sz w:val="20"/>
          <w:szCs w:val="20"/>
          <w:color w:val="auto"/>
        </w:rPr>
      </w:pPr>
    </w:p>
    <w:p>
      <w:pPr>
        <w:ind w:right="60" w:firstLine="382"/>
        <w:spacing w:after="0" w:line="291" w:lineRule="auto"/>
        <w:rPr>
          <w:sz w:val="20"/>
          <w:szCs w:val="20"/>
          <w:color w:val="auto"/>
        </w:rPr>
      </w:pPr>
      <w:r>
        <w:rPr>
          <w:rFonts w:ascii="Arial" w:cs="Arial" w:eastAsia="Arial" w:hAnsi="Arial"/>
          <w:sz w:val="16"/>
          <w:szCs w:val="16"/>
          <w:color w:val="auto"/>
        </w:rPr>
        <w:t xml:space="preserve">In February 2016, the FASB issued Accounting Standards Updates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as amended, with guidance regarding the accounting for and disclosure of leases. The update requires lessees to recognize the liabilities related to all leases, including operating leases on the balance sheet. This update also requires lessees and lessors to disclose key information about their leasing transactions. This update is effective for entities other than public business entities, including emerging growth companies that elected to defer compliance with new or revised financial accounting standards until a company that is not an issuer is required to comply with such standards, for annual reporting periods beginning after December 15, 2021, and interim periods within annual periods beginning after December 15, 2022. Early adoption is permitted. The Company is currently assessing the impact of adopting ASU No. 2016-02 on the condensed consolidated financial statements and related disclosures.</w:t>
      </w:r>
    </w:p>
    <w:p>
      <w:pPr>
        <w:spacing w:after="0" w:line="166"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w:t>
      </w:r>
      <w:r>
        <w:rPr>
          <w:rFonts w:ascii="Arial" w:cs="Arial" w:eastAsia="Arial" w:hAnsi="Arial"/>
          <w:sz w:val="18"/>
          <w:szCs w:val="18"/>
          <w:i w:val="1"/>
          <w:iCs w:val="1"/>
          <w:color w:val="auto"/>
        </w:rPr>
        <w:t>Topic 820</w:t>
      </w:r>
      <w:r>
        <w:rPr>
          <w:rFonts w:ascii="Arial" w:cs="Arial" w:eastAsia="Arial" w:hAnsi="Arial"/>
          <w:sz w:val="18"/>
          <w:szCs w:val="18"/>
          <w:color w:val="auto"/>
        </w:rPr>
        <w:t>), Disclosure Framework—Changes to the Disclosure Requirements for Fair Value Measurement. This update removed the following disclosure requirements: (1) the amount of and reasons for transfers between Level 1 and Level 2 of the fair value hierarchy; (2) the policy for timing of transfers between levels; and (3) the valuation processes for Level 3 fair value measurements. Additionally, this update added the following disclosure requirements: (1) the changes in unrealized gains and losses for the period included in other comprehensive income and loss for recurring Level 3 fair value measurements held at the end of the reporting period; (2) the range and weighted average of</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9" w:name="page10"/>
    <w:bookmarkEnd w:id="9"/>
    <w:p>
      <w:pPr>
        <w:ind w:right="40"/>
        <w:spacing w:after="0" w:line="257" w:lineRule="auto"/>
        <w:rPr>
          <w:sz w:val="20"/>
          <w:szCs w:val="20"/>
          <w:color w:val="auto"/>
        </w:rPr>
      </w:pPr>
      <w:r>
        <w:rPr>
          <w:rFonts w:ascii="Arial" w:cs="Arial" w:eastAsia="Arial" w:hAnsi="Arial"/>
          <w:sz w:val="18"/>
          <w:szCs w:val="18"/>
          <w:color w:val="auto"/>
        </w:rPr>
        <w:t>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The Company adopted ASU No. 2018-13 on January 1, 2020 and it did not have a material effect on the condensed consolidated financial statements and related disclosures.</w:t>
      </w:r>
    </w:p>
    <w:p>
      <w:pPr>
        <w:spacing w:after="0" w:line="188" w:lineRule="exact"/>
        <w:rPr>
          <w:sz w:val="20"/>
          <w:szCs w:val="20"/>
          <w:color w:val="auto"/>
        </w:rPr>
      </w:pPr>
    </w:p>
    <w:p>
      <w:pPr>
        <w:ind w:right="20" w:firstLine="382"/>
        <w:spacing w:after="0" w:line="27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ASU No.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This update is effective for entities other than public business entities, including emerging growth companies that elected to defer compliance with new or revised financial accounting standards until a company that is not an issuer is required to comply with such standards, for annual reporting periods beginning after December 15, 2021, and interim periods within annual periods beginning after December 15, 2022. The Company adopted ASU No. 2019-12 on January 1, 2020 and it did not have a material effect on the condensed consolidated financial statements and related disclosures.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Arial" w:cs="Arial" w:eastAsia="Arial" w:hAnsi="Arial"/>
                <w:sz w:val="18"/>
                <w:szCs w:val="18"/>
                <w:b w:val="1"/>
                <w:bCs w:val="1"/>
                <w:color w:val="auto"/>
              </w:rPr>
              <w:t>3. MARKETABLE SECURITIES</w:t>
            </w: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5120" w:type="dxa"/>
            <w:vAlign w:val="bottom"/>
          </w:tcPr>
          <w:p>
            <w:pPr>
              <w:ind w:left="380"/>
              <w:spacing w:after="0"/>
              <w:rPr>
                <w:sz w:val="20"/>
                <w:szCs w:val="20"/>
                <w:color w:val="auto"/>
              </w:rPr>
            </w:pPr>
            <w:r>
              <w:rPr>
                <w:rFonts w:ascii="Arial" w:cs="Arial" w:eastAsia="Arial" w:hAnsi="Arial"/>
                <w:sz w:val="18"/>
                <w:szCs w:val="18"/>
                <w:color w:val="auto"/>
                <w:w w:val="98"/>
              </w:rPr>
              <w:t>Marketable securities consist of the following (in thousands):</w:t>
            </w: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0"/>
        </w:trPr>
        <w:tc>
          <w:tcPr>
            <w:tcW w:w="5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ind w:left="120"/>
              <w:spacing w:after="0"/>
              <w:rPr>
                <w:sz w:val="20"/>
                <w:szCs w:val="20"/>
                <w:color w:val="auto"/>
              </w:rPr>
            </w:pPr>
            <w:r>
              <w:rPr>
                <w:rFonts w:ascii="Arial" w:cs="Arial" w:eastAsia="Arial" w:hAnsi="Arial"/>
                <w:sz w:val="18"/>
                <w:szCs w:val="18"/>
                <w:b w:val="1"/>
                <w:bCs w:val="1"/>
                <w:color w:val="auto"/>
              </w:rPr>
              <w:t>Unrealized</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5120" w:type="dxa"/>
            <w:vAlign w:val="bottom"/>
            <w:tcBorders>
              <w:bottom w:val="single" w:sz="8" w:color="CFF0FC"/>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Amortized Cost</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Gains</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86"/>
              </w:rPr>
              <w:t>Losses</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Borders>
              <w:bottom w:val="single" w:sz="8" w:color="CFF0FC"/>
            </w:tcBorders>
          </w:tcPr>
          <w:p>
            <w:pPr>
              <w:spacing w:after="0"/>
              <w:rPr>
                <w:sz w:val="20"/>
                <w:szCs w:val="20"/>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5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59,955</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59,950</w:t>
            </w:r>
          </w:p>
        </w:tc>
        <w:tc>
          <w:tcPr>
            <w:tcW w:w="12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Corporate bonds</w:t>
            </w:r>
          </w:p>
        </w:tc>
        <w:tc>
          <w:tcPr>
            <w:tcW w:w="1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86,045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85,954</w:t>
            </w:r>
          </w:p>
        </w:tc>
        <w:tc>
          <w:tcPr>
            <w:tcW w:w="1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147,000</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146,899</w:t>
            </w:r>
          </w:p>
        </w:tc>
        <w:tc>
          <w:tcPr>
            <w:tcW w:w="1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 w:lineRule="exact"/>
        <w:rPr>
          <w:sz w:val="20"/>
          <w:szCs w:val="20"/>
          <w:color w:val="auto"/>
        </w:rPr>
      </w:pPr>
    </w:p>
    <w:p>
      <w:pPr>
        <w:ind w:right="380" w:firstLine="382"/>
        <w:spacing w:after="0" w:line="308" w:lineRule="auto"/>
        <w:rPr>
          <w:sz w:val="20"/>
          <w:szCs w:val="20"/>
          <w:color w:val="auto"/>
        </w:rPr>
      </w:pPr>
      <w:r>
        <w:rPr>
          <w:rFonts w:ascii="Arial" w:cs="Arial" w:eastAsia="Arial" w:hAnsi="Arial"/>
          <w:sz w:val="17"/>
          <w:szCs w:val="17"/>
          <w:color w:val="auto"/>
        </w:rPr>
        <w:t>As of June 30, 2021, all marketable securities held by the Company had remaining contractual maturities of one year or less, except for corporate bonds and U.S. government agencies securities with a fair value of $65.4 million that had maturities of one to three years.</w:t>
      </w:r>
    </w:p>
    <w:p>
      <w:pPr>
        <w:spacing w:after="0" w:line="146" w:lineRule="exact"/>
        <w:rPr>
          <w:sz w:val="20"/>
          <w:szCs w:val="20"/>
          <w:color w:val="auto"/>
        </w:rPr>
      </w:pPr>
    </w:p>
    <w:p>
      <w:pPr>
        <w:ind w:right="120" w:firstLine="382"/>
        <w:spacing w:after="0" w:line="277" w:lineRule="auto"/>
        <w:rPr>
          <w:sz w:val="20"/>
          <w:szCs w:val="20"/>
          <w:color w:val="auto"/>
        </w:rPr>
      </w:pPr>
      <w:r>
        <w:rPr>
          <w:rFonts w:ascii="Arial" w:cs="Arial" w:eastAsia="Arial" w:hAnsi="Arial"/>
          <w:sz w:val="18"/>
          <w:szCs w:val="18"/>
          <w:color w:val="auto"/>
        </w:rPr>
        <w:t>As of June 30, 2021, $91 thousand and $13 thousand of unrealized losses are associated with marketable securities with contractual maturities of one year or less and more than one year, respectively.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impairments of the Company’s assets measured and carried at fair value during the six months ended June 30,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620" w:type="dxa"/>
            <w:vAlign w:val="bottom"/>
          </w:tcPr>
          <w:p>
            <w:pPr>
              <w:spacing w:after="0"/>
              <w:rPr>
                <w:sz w:val="14"/>
                <w:szCs w:val="14"/>
                <w:color w:val="auto"/>
              </w:rPr>
            </w:pPr>
          </w:p>
        </w:tc>
        <w:tc>
          <w:tcPr>
            <w:tcW w:w="322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Office equipment and furniture</w:t>
            </w:r>
          </w:p>
        </w:tc>
        <w:tc>
          <w:tcPr>
            <w:tcW w:w="2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385</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94</w:t>
            </w:r>
          </w:p>
        </w:tc>
      </w:tr>
      <w:tr>
        <w:trPr>
          <w:trHeight w:val="230"/>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equipment</w:t>
            </w:r>
          </w:p>
        </w:tc>
        <w:tc>
          <w:tcPr>
            <w:tcW w:w="21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2,470</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1,767</w:t>
            </w:r>
          </w:p>
        </w:tc>
      </w:tr>
      <w:tr>
        <w:trPr>
          <w:trHeight w:val="223"/>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w:t>
            </w:r>
          </w:p>
        </w:tc>
        <w:tc>
          <w:tcPr>
            <w:tcW w:w="2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2,855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1,861</w:t>
            </w:r>
          </w:p>
        </w:tc>
      </w:tr>
      <w:tr>
        <w:trPr>
          <w:trHeight w:val="230"/>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21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r>
      <w:tr>
        <w:trPr>
          <w:trHeight w:val="223"/>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1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2,111</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1,266</w:t>
            </w:r>
          </w:p>
        </w:tc>
      </w:tr>
      <w:tr>
        <w:trPr>
          <w:trHeight w:val="20"/>
        </w:trPr>
        <w:tc>
          <w:tcPr>
            <w:tcW w:w="5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firstLine="382"/>
        <w:spacing w:after="0" w:line="277" w:lineRule="auto"/>
        <w:rPr>
          <w:sz w:val="20"/>
          <w:szCs w:val="20"/>
          <w:color w:val="auto"/>
        </w:rPr>
      </w:pPr>
      <w:r>
        <w:rPr>
          <w:rFonts w:ascii="Arial" w:cs="Arial" w:eastAsia="Arial" w:hAnsi="Arial"/>
          <w:sz w:val="18"/>
          <w:szCs w:val="18"/>
          <w:color w:val="auto"/>
        </w:rPr>
        <w:t>Depreciation and amortization expense for the three months ended June 30, 2021 and 2020 was $122 thousand and $52 thousand, respectively, and for the six months ended June 30, 2021 and 2020 was $220 thousand and $75 thousand,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OTHER CURRENT LIABILITIES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current liabilities consist of the following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97"/>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040" w:type="dxa"/>
            <w:vAlign w:val="bottom"/>
          </w:tcPr>
          <w:p>
            <w:pPr>
              <w:spacing w:after="0"/>
              <w:rPr>
                <w:sz w:val="14"/>
                <w:szCs w:val="14"/>
                <w:color w:val="auto"/>
              </w:rPr>
            </w:pPr>
          </w:p>
        </w:tc>
        <w:tc>
          <w:tcPr>
            <w:tcW w:w="380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657"/>
              <w:spacing w:after="0"/>
              <w:rPr>
                <w:sz w:val="20"/>
                <w:szCs w:val="20"/>
                <w:color w:val="auto"/>
              </w:rPr>
            </w:pPr>
            <w:r>
              <w:rPr>
                <w:rFonts w:ascii="Arial" w:cs="Arial" w:eastAsia="Arial" w:hAnsi="Arial"/>
                <w:sz w:val="14"/>
                <w:szCs w:val="14"/>
                <w:b w:val="1"/>
                <w:bCs w:val="1"/>
                <w:color w:val="auto"/>
              </w:rPr>
              <w:t>2020</w:t>
            </w: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Compensation and benefits</w:t>
            </w:r>
          </w:p>
        </w:tc>
        <w:tc>
          <w:tcPr>
            <w:tcW w:w="27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1,095</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916</w:t>
            </w:r>
          </w:p>
        </w:tc>
      </w:tr>
      <w:tr>
        <w:trPr>
          <w:trHeight w:val="229"/>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7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32</w:t>
            </w:r>
          </w:p>
        </w:tc>
      </w:tr>
      <w:tr>
        <w:trPr>
          <w:trHeight w:val="223"/>
        </w:trPr>
        <w:tc>
          <w:tcPr>
            <w:tcW w:w="5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current liabilities</w:t>
            </w:r>
          </w:p>
        </w:tc>
        <w:tc>
          <w:tcPr>
            <w:tcW w:w="27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1,095</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948</w:t>
            </w:r>
          </w:p>
        </w:tc>
      </w:tr>
      <w:tr>
        <w:trPr>
          <w:trHeight w:val="20"/>
        </w:trPr>
        <w:tc>
          <w:tcPr>
            <w:tcW w:w="50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35" w:lineRule="exact"/>
        <w:rPr>
          <w:sz w:val="20"/>
          <w:szCs w:val="20"/>
          <w:color w:val="auto"/>
        </w:rPr>
      </w:pPr>
    </w:p>
    <w:p>
      <w:pPr>
        <w:ind w:right="100" w:firstLine="382"/>
        <w:spacing w:after="0" w:line="263" w:lineRule="auto"/>
        <w:rPr>
          <w:sz w:val="20"/>
          <w:szCs w:val="20"/>
          <w:color w:val="auto"/>
        </w:rPr>
      </w:pPr>
      <w:r>
        <w:rPr>
          <w:rFonts w:ascii="Arial" w:cs="Arial" w:eastAsia="Arial" w:hAnsi="Arial"/>
          <w:sz w:val="18"/>
          <w:szCs w:val="18"/>
          <w:color w:val="auto"/>
        </w:rPr>
        <w:t>In May 2020, the Company received $567 thousand in loan funding from the Paycheck Protection Program (“PPP”) pursuant to the Coronavirus Aid, Relief, and Economic Security Act, as amended by the Flexibility Act, and administered by the Small Business Administration. The unsecured loan (the “PPP Loan”) is with Silicon Valley Bank.</w:t>
      </w:r>
    </w:p>
    <w:p>
      <w:pPr>
        <w:spacing w:after="0" w:line="184" w:lineRule="exact"/>
        <w:rPr>
          <w:sz w:val="20"/>
          <w:szCs w:val="20"/>
          <w:color w:val="auto"/>
        </w:rPr>
      </w:pPr>
    </w:p>
    <w:p>
      <w:pPr>
        <w:ind w:right="80" w:firstLine="382"/>
        <w:spacing w:after="0" w:line="263" w:lineRule="auto"/>
        <w:rPr>
          <w:sz w:val="20"/>
          <w:szCs w:val="20"/>
          <w:color w:val="auto"/>
        </w:rPr>
      </w:pPr>
      <w:r>
        <w:rPr>
          <w:rFonts w:ascii="Arial" w:cs="Arial" w:eastAsia="Arial" w:hAnsi="Arial"/>
          <w:sz w:val="18"/>
          <w:szCs w:val="18"/>
          <w:color w:val="auto"/>
        </w:rPr>
        <w:t>Under the terms of the PPP Loan, interest accrues on the outstanding principal at a rate of 1.0% per annum. The Company has applied for forgiveness and the application is currently under review. To the extent the PPP Loan amount is not forgiven the Company will make equal monthly payments of principal and interest, beginning after determination of forgiveness by the lender.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160" w:firstLine="382"/>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80" w:type="dxa"/>
            <w:vAlign w:val="bottom"/>
            <w:gridSpan w:val="10"/>
          </w:tcPr>
          <w:p>
            <w:pPr>
              <w:jc w:val="right"/>
              <w:ind w:right="69"/>
              <w:spacing w:after="0"/>
              <w:rPr>
                <w:sz w:val="20"/>
                <w:szCs w:val="20"/>
                <w:color w:val="auto"/>
              </w:rPr>
            </w:pPr>
            <w:r>
              <w:rPr>
                <w:rFonts w:ascii="Arial" w:cs="Arial" w:eastAsia="Arial" w:hAnsi="Arial"/>
                <w:sz w:val="18"/>
                <w:szCs w:val="18"/>
                <w:b w:val="1"/>
                <w:bCs w:val="1"/>
                <w:color w:val="auto"/>
              </w:rPr>
              <w:t>Fair value measurements at June 30, 2021</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5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13,868</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9"/>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13,868</w:t>
            </w:r>
          </w:p>
        </w:tc>
        <w:tc>
          <w:tcPr>
            <w:tcW w:w="12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59,950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59,950</w:t>
            </w:r>
          </w:p>
        </w:tc>
        <w:tc>
          <w:tcPr>
            <w:tcW w:w="120" w:type="dxa"/>
            <w:vAlign w:val="bottom"/>
            <w:shd w:val="clear" w:color="auto" w:fill="CFF0FC"/>
          </w:tcPr>
          <w:p>
            <w:pPr>
              <w:spacing w:after="0"/>
              <w:rPr>
                <w:sz w:val="19"/>
                <w:szCs w:val="19"/>
                <w:color w:val="auto"/>
              </w:rPr>
            </w:pPr>
          </w:p>
        </w:tc>
      </w:tr>
      <w:tr>
        <w:trPr>
          <w:trHeight w:val="230"/>
        </w:trPr>
        <w:tc>
          <w:tcPr>
            <w:tcW w:w="584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85,954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85,954</w:t>
            </w:r>
          </w:p>
        </w:tc>
        <w:tc>
          <w:tcPr>
            <w:tcW w:w="120" w:type="dxa"/>
            <w:vAlign w:val="bottom"/>
          </w:tcPr>
          <w:p>
            <w:pPr>
              <w:spacing w:after="0"/>
              <w:rPr>
                <w:sz w:val="19"/>
                <w:szCs w:val="19"/>
                <w:color w:val="auto"/>
              </w:rPr>
            </w:pPr>
          </w:p>
        </w:tc>
      </w:tr>
      <w:tr>
        <w:trPr>
          <w:trHeight w:val="229"/>
        </w:trPr>
        <w:tc>
          <w:tcPr>
            <w:tcW w:w="5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U.S. Government agencies</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13,868</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146,899</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160,767</w:t>
            </w:r>
          </w:p>
        </w:tc>
        <w:tc>
          <w:tcPr>
            <w:tcW w:w="1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382"/>
        <w:spacing w:after="0" w:line="273" w:lineRule="auto"/>
        <w:rPr>
          <w:sz w:val="20"/>
          <w:szCs w:val="20"/>
          <w:color w:val="auto"/>
        </w:rPr>
      </w:pPr>
      <w:r>
        <w:rPr>
          <w:rFonts w:ascii="Arial" w:cs="Arial" w:eastAsia="Arial" w:hAnsi="Arial"/>
          <w:sz w:val="17"/>
          <w:szCs w:val="17"/>
          <w:color w:val="auto"/>
        </w:rPr>
        <w:t>When developing fair value estimates, the Company maximizes the use of observable inputs and minimizes the use of unobservable inputs. When available, the Company uses quoted market prices to measure fair value. The valuation technique used to measure fair value for the Company's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the Company is required to make judgments about assumptions market participants would use to estimate the fair value of a financial instrument.</w:t>
      </w:r>
    </w:p>
    <w:p>
      <w:pPr>
        <w:spacing w:after="0" w:line="178" w:lineRule="exact"/>
        <w:rPr>
          <w:sz w:val="20"/>
          <w:szCs w:val="20"/>
          <w:color w:val="auto"/>
        </w:rPr>
      </w:pPr>
    </w:p>
    <w:p>
      <w:pPr>
        <w:ind w:right="480" w:firstLine="382"/>
        <w:spacing w:after="0" w:line="301" w:lineRule="auto"/>
        <w:rPr>
          <w:sz w:val="20"/>
          <w:szCs w:val="20"/>
          <w:color w:val="auto"/>
        </w:rPr>
      </w:pPr>
      <w:r>
        <w:rPr>
          <w:rFonts w:ascii="Arial" w:cs="Arial" w:eastAsia="Arial" w:hAnsi="Arial"/>
          <w:sz w:val="16"/>
          <w:szCs w:val="16"/>
          <w:color w:val="auto"/>
        </w:rPr>
        <w:t>The Company’s embedded debt derivatives during 2020 are measured at fair value using a probability-weighted discounted cash flow valuation methodology. The determination of the fair value of embedded debt derivatives includes inputs not observable in the market and as such, represents a Level 3 measurement. The methodology utilized requires inputs based on certain subjective assumptions, including probabilities of debt settlement scenarios and a discount rate. This approach results in the classification of these embedded debt derivatives as Level 3 of the fair value hierarchy.</w:t>
      </w:r>
    </w:p>
    <w:p>
      <w:pPr>
        <w:spacing w:after="0" w:line="157"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The assumptions utilized to value the embedded debt derivatives during the six months ended June 30, 2020 prior to the settlement of such instruments included the actual outcome of the underling debt host contract, whether it was settled on a qualified financing prior to the contractual maturity date or settlement at the contractual maturity date. For the six months ended June 30, 2020, the Company recognized $1.0 million of income in the condensed consolidated statement of operations as other income—fair value adjustments on embedded debt derivatives. The fair value of the embedded debt derivate was zero as of June 30,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ind w:right="100" w:firstLine="382"/>
        <w:spacing w:after="0" w:line="277" w:lineRule="auto"/>
        <w:rPr>
          <w:sz w:val="20"/>
          <w:szCs w:val="20"/>
          <w:color w:val="auto"/>
        </w:rPr>
      </w:pPr>
      <w:r>
        <w:rPr>
          <w:rFonts w:ascii="Arial" w:cs="Arial" w:eastAsia="Arial" w:hAnsi="Arial"/>
          <w:sz w:val="18"/>
          <w:szCs w:val="18"/>
          <w:color w:val="auto"/>
        </w:rPr>
        <w:t>The following table provides a reconciliation of embedded debt derivatives measured at fair value on a recurring basis using significant unobservable inputs (Level 3)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3,920</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Change in fair value</w:t>
            </w: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Settlement</w:t>
            </w:r>
          </w:p>
        </w:tc>
        <w:tc>
          <w:tcPr>
            <w:tcW w:w="3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9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transfers among Level 1, Level 2 or Level 3 categories in the three or six months ended June 30, 2021 or June 30, 2020.</w:t>
      </w:r>
    </w:p>
    <w:p>
      <w:pPr>
        <w:spacing w:after="0" w:line="329" w:lineRule="exact"/>
        <w:rPr>
          <w:sz w:val="20"/>
          <w:szCs w:val="20"/>
          <w:color w:val="auto"/>
        </w:rPr>
      </w:pPr>
    </w:p>
    <w:p>
      <w:pPr>
        <w:ind w:left="200" w:right="7600" w:hanging="192"/>
        <w:spacing w:after="0" w:line="377" w:lineRule="auto"/>
        <w:tabs>
          <w:tab w:leader="none" w:pos="19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w:t>
      </w:r>
    </w:p>
    <w:p>
      <w:pPr>
        <w:spacing w:after="0" w:line="2" w:lineRule="exact"/>
        <w:rPr>
          <w:sz w:val="20"/>
          <w:szCs w:val="20"/>
          <w:color w:val="auto"/>
        </w:rPr>
      </w:pPr>
    </w:p>
    <w:p>
      <w:pPr>
        <w:ind w:right="140" w:firstLine="382"/>
        <w:spacing w:after="0" w:line="263" w:lineRule="auto"/>
        <w:rPr>
          <w:sz w:val="20"/>
          <w:szCs w:val="20"/>
          <w:color w:val="auto"/>
        </w:rPr>
      </w:pPr>
      <w:r>
        <w:rPr>
          <w:rFonts w:ascii="Arial" w:cs="Arial" w:eastAsia="Arial" w:hAnsi="Arial"/>
          <w:sz w:val="18"/>
          <w:szCs w:val="18"/>
          <w:color w:val="auto"/>
        </w:rPr>
        <w:t>As of June 30, 2021, the Company leases office facilities and other equipment under operating leases, which expire at various dates through 2027. Lease expense for the three months ended June 30, 2021 and 2020 was $272 thousand and $356 thousand, respectively, and for the six months ended June 30, 2021 and 2020 was $506 thousand and $660 thousand, respectively.</w:t>
      </w: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the future annual minimum payments required under noncancellable operating leases at June 30, 2021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760" w:type="dxa"/>
            <w:vAlign w:val="bottom"/>
            <w:gridSpan w:val="2"/>
            <w:shd w:val="clear" w:color="auto" w:fill="CFF0FC"/>
          </w:tcPr>
          <w:p>
            <w:pPr>
              <w:jc w:val="right"/>
              <w:ind w:right="629"/>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w:t>
            </w:r>
          </w:p>
        </w:tc>
        <w:tc>
          <w:tcPr>
            <w:tcW w:w="12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12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9"/>
                <w:szCs w:val="19"/>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operating lease obligations</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8,670</w:t>
            </w:r>
          </w:p>
        </w:tc>
        <w:tc>
          <w:tcPr>
            <w:tcW w:w="12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June 30, 2021, the Company has letters of credit agreements outstanding totaling $678 thousand as security for office facility operating leases.</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Lease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June 2021 the Company terminated its leases for research equipment.</w:t>
      </w:r>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80" w:firstLine="382"/>
        <w:spacing w:after="0" w:line="277" w:lineRule="auto"/>
        <w:rPr>
          <w:sz w:val="20"/>
          <w:szCs w:val="20"/>
          <w:color w:val="auto"/>
        </w:rPr>
      </w:pPr>
      <w:r>
        <w:rPr>
          <w:rFonts w:ascii="Arial" w:cs="Arial" w:eastAsia="Arial" w:hAnsi="Arial"/>
          <w:sz w:val="18"/>
          <w:szCs w:val="18"/>
          <w:color w:val="auto"/>
        </w:rPr>
        <w:t>In the normal course of business, the Company enters into licensing agreements with various parties to obtain the right to make, use, and sell licensed products currently in development.</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80" w:firstLine="382"/>
        <w:spacing w:after="0" w:line="286" w:lineRule="auto"/>
        <w:rPr>
          <w:sz w:val="20"/>
          <w:szCs w:val="20"/>
          <w:color w:val="auto"/>
        </w:rPr>
      </w:pPr>
      <w:r>
        <w:rPr>
          <w:rFonts w:ascii="Arial" w:cs="Arial" w:eastAsia="Arial" w:hAnsi="Arial"/>
          <w:sz w:val="17"/>
          <w:szCs w:val="17"/>
          <w:color w:val="auto"/>
        </w:rPr>
        <w:t>The Company records estimated losses from loss contingencies, such as a loss arising from a litigation, when it determines that it is probable a liability has been incurred and the amount of loss can be reasonably estimated. Litigation is subject to many factors that are difficult to predict so that there can be no assurance, in the event of a material unfavorable result in one or more claims, the Company will not incur material costs.</w:t>
      </w:r>
    </w:p>
    <w:p>
      <w:pPr>
        <w:spacing w:after="0" w:line="165"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During 2017, the Company became actively involved in a matter pending in the Ontario (Canada) Superior Court of Justice which names, among multiple other defendants, the Company and two former officers of the Company. The claims pending in this matter allege breach of contract by the Company and seek declaratory and other relief, including monetary damages from the Company, and the individual defendants, including the Company’s former officers. The claims by such plaintiffs were originally made in a lawsuit filed in Ontario during October 2011, but was not pursued by such plaintiffs in any material manner until 2017. The Company believes that there is no merit to the claims alleged against the Company and its former officers, including no alleged breach of contract by the Company, and intends to vigorously defend against the claims pertaining to the Company and its former officers. At the present stage of the suit, management believes the outcome in this matter is not likely to have any material impact on the Company’s results, cash flows, or financial position.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left="200"/>
        <w:spacing w:after="0"/>
        <w:rPr>
          <w:sz w:val="20"/>
          <w:szCs w:val="20"/>
          <w:color w:val="auto"/>
        </w:rPr>
      </w:pPr>
      <w:r>
        <w:rPr>
          <w:rFonts w:ascii="Arial" w:cs="Arial" w:eastAsia="Arial" w:hAnsi="Arial"/>
          <w:sz w:val="18"/>
          <w:szCs w:val="18"/>
          <w:b w:val="1"/>
          <w:bCs w:val="1"/>
          <w:i w:val="1"/>
          <w:iCs w:val="1"/>
          <w:color w:val="auto"/>
        </w:rPr>
        <w:t>Coronavirus pandemic</w:t>
      </w:r>
    </w:p>
    <w:p>
      <w:pPr>
        <w:spacing w:after="0" w:line="117" w:lineRule="exact"/>
        <w:rPr>
          <w:sz w:val="20"/>
          <w:szCs w:val="20"/>
          <w:color w:val="auto"/>
        </w:rPr>
      </w:pPr>
    </w:p>
    <w:p>
      <w:pPr>
        <w:ind w:firstLine="382"/>
        <w:spacing w:after="0" w:line="270"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based on the rapid increase in exposure globally. The full impact of the COVID-19 outbreak continues to evolve as of the date of these financial statements. As such, it is uncertain as to the full magnitude that the pandemic will have on the Company’s financial condition, liquidity, and future results of operations. Management is actively monitoring the global situation on its financial condition, liquidity, operations, suppliers, industry, and workforce. Given the daily evolution of the COVID-19 outbreak and the global responses to curb its spread, the Company is not able to estimate the effects of the COVID-19 outbreak on its results of operations, financial condition, or liquidity. Although the Company cannot estimate the length or gravity of the impact of the COVID-19 outbreak at this time, if the pandemic continues, it may have a material adverse effect on the Company’s results of future operations, financial position, and liquidity in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w:t>
      </w:r>
    </w:p>
    <w:p>
      <w:pPr>
        <w:spacing w:after="0" w:line="121" w:lineRule="exact"/>
        <w:rPr>
          <w:sz w:val="20"/>
          <w:szCs w:val="20"/>
          <w:color w:val="auto"/>
        </w:rPr>
      </w:pPr>
    </w:p>
    <w:p>
      <w:pPr>
        <w:ind w:right="120" w:firstLine="382"/>
        <w:spacing w:after="0" w:line="277"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not entitled to receive dividends, unless declared by the board of directors.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BB Convertible Preferred Stock Issuance</w:t>
      </w:r>
    </w:p>
    <w:p>
      <w:pPr>
        <w:spacing w:after="0" w:line="225" w:lineRule="exact"/>
        <w:rPr>
          <w:sz w:val="20"/>
          <w:szCs w:val="20"/>
          <w:color w:val="auto"/>
        </w:rPr>
      </w:pPr>
    </w:p>
    <w:p>
      <w:pPr>
        <w:ind w:right="220" w:firstLine="382"/>
        <w:spacing w:after="0" w:line="277" w:lineRule="auto"/>
        <w:rPr>
          <w:sz w:val="20"/>
          <w:szCs w:val="20"/>
          <w:color w:val="auto"/>
        </w:rPr>
      </w:pPr>
      <w:r>
        <w:rPr>
          <w:rFonts w:ascii="Arial" w:cs="Arial" w:eastAsia="Arial" w:hAnsi="Arial"/>
          <w:sz w:val="18"/>
          <w:szCs w:val="18"/>
          <w:color w:val="auto"/>
        </w:rPr>
        <w:t>In January 2021, the Company issued and sold 113,275,902 shares of Series BB convertible preferred stock at $0.207383 per share in exchange for $23.5 million in gross proceeds.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40" w:firstLine="382"/>
        <w:spacing w:after="0" w:line="259" w:lineRule="auto"/>
        <w:rPr>
          <w:sz w:val="20"/>
          <w:szCs w:val="20"/>
          <w:color w:val="auto"/>
        </w:rPr>
      </w:pPr>
      <w:r>
        <w:rPr>
          <w:rFonts w:ascii="Arial" w:cs="Arial" w:eastAsia="Arial" w:hAnsi="Arial"/>
          <w:sz w:val="18"/>
          <w:szCs w:val="18"/>
          <w:color w:val="auto"/>
        </w:rPr>
        <w:t>In February 2021, the Company completed its IPO in which the Company issued and sold 8,030,295 shares of its common stock, including 1,030,243 shares pursuant to the partial exercise of the underwriters’ option to purchase additional shares, at a public offering price of $19.00 per share, for aggregate gross proceeds of $152.6 million. The Company received approximately $138.5 million in net proceeds after deducting underwriting discounts and estimated offering expenses payable by the Company.</w:t>
      </w:r>
    </w:p>
    <w:p>
      <w:pPr>
        <w:spacing w:after="0" w:line="187" w:lineRule="exact"/>
        <w:rPr>
          <w:sz w:val="20"/>
          <w:szCs w:val="20"/>
          <w:color w:val="auto"/>
        </w:rPr>
      </w:pPr>
    </w:p>
    <w:p>
      <w:pPr>
        <w:ind w:right="160" w:firstLine="382"/>
        <w:spacing w:after="0" w:line="258" w:lineRule="auto"/>
        <w:rPr>
          <w:sz w:val="20"/>
          <w:szCs w:val="20"/>
          <w:color w:val="auto"/>
        </w:rPr>
      </w:pPr>
      <w:r>
        <w:rPr>
          <w:rFonts w:ascii="Arial" w:cs="Arial" w:eastAsia="Arial" w:hAnsi="Arial"/>
          <w:sz w:val="18"/>
          <w:szCs w:val="18"/>
          <w:color w:val="auto"/>
        </w:rPr>
        <w:t>Upon closing of the IPO on February 8, 2021, all of the Company’s outstanding preferred stock converted into an aggregate of 19,034,069 shares of common stock.</w:t>
      </w:r>
    </w:p>
    <w:p>
      <w:pPr>
        <w:spacing w:after="0" w:line="1" w:lineRule="exact"/>
        <w:rPr>
          <w:sz w:val="20"/>
          <w:szCs w:val="20"/>
          <w:color w:val="auto"/>
        </w:rPr>
      </w:pPr>
    </w:p>
    <w:p>
      <w:pPr>
        <w:ind w:right="340" w:firstLine="382"/>
        <w:spacing w:after="0" w:line="273" w:lineRule="auto"/>
        <w:rPr>
          <w:sz w:val="20"/>
          <w:szCs w:val="20"/>
          <w:color w:val="auto"/>
        </w:rPr>
      </w:pPr>
      <w:r>
        <w:rPr>
          <w:rFonts w:ascii="Arial" w:cs="Arial" w:eastAsia="Arial" w:hAnsi="Arial"/>
          <w:sz w:val="17"/>
          <w:szCs w:val="17"/>
          <w:color w:val="auto"/>
        </w:rPr>
        <w:t>On February 8, 2021, in connection with the IPO, the Company filed an Amended and Restated Certificate of Incorporation (the “Amended Certificate”) with the Secretary of State of the State of Delaware. The Amended Certificate, among other things: (i) authorized 250,000,000 shares of common stock; (ii) eliminated all references to the previously existing series of preferred stock; and (iii) authorized 10,000,000 shares of undesignated preferred stock that may be issued from time to time by the Company’s board of directors in one or more series.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right="500" w:firstLine="382"/>
        <w:spacing w:after="0" w:line="277" w:lineRule="auto"/>
        <w:rPr>
          <w:sz w:val="20"/>
          <w:szCs w:val="20"/>
          <w:color w:val="auto"/>
        </w:rPr>
      </w:pPr>
      <w:r>
        <w:rPr>
          <w:rFonts w:ascii="Arial" w:cs="Arial" w:eastAsia="Arial" w:hAnsi="Arial"/>
          <w:sz w:val="18"/>
          <w:szCs w:val="18"/>
          <w:color w:val="auto"/>
        </w:rPr>
        <w:t>The following is a summary of the common stock warrant activity related to common stock warrants issued in conjunction with equity and debt fundraising events for the six months ended June 30,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18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4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of Common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00" w:type="dxa"/>
            <w:vAlign w:val="bottom"/>
          </w:tcPr>
          <w:p>
            <w:pPr>
              <w:spacing w:after="0"/>
              <w:rPr>
                <w:sz w:val="12"/>
                <w:szCs w:val="12"/>
                <w:color w:val="auto"/>
              </w:rPr>
            </w:pPr>
          </w:p>
        </w:tc>
        <w:tc>
          <w:tcPr>
            <w:tcW w:w="18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400" w:type="dxa"/>
            <w:vAlign w:val="bottom"/>
          </w:tcPr>
          <w:p>
            <w:pPr>
              <w:spacing w:after="0"/>
              <w:rPr>
                <w:sz w:val="12"/>
                <w:szCs w:val="12"/>
                <w:color w:val="auto"/>
              </w:rPr>
            </w:pPr>
          </w:p>
        </w:tc>
        <w:tc>
          <w:tcPr>
            <w:tcW w:w="18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Warrants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400" w:type="dxa"/>
            <w:vAlign w:val="bottom"/>
          </w:tcPr>
          <w:p>
            <w:pPr>
              <w:spacing w:after="0"/>
              <w:rPr>
                <w:sz w:val="14"/>
                <w:szCs w:val="14"/>
                <w:color w:val="auto"/>
              </w:rPr>
            </w:pPr>
          </w:p>
        </w:tc>
        <w:tc>
          <w:tcPr>
            <w:tcW w:w="1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412,262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1,648,709</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(1,648,709)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(0.01)</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Expired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412,262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17" w:lineRule="exact"/>
        <w:rPr>
          <w:sz w:val="20"/>
          <w:szCs w:val="20"/>
          <w:color w:val="auto"/>
        </w:rPr>
      </w:pPr>
    </w:p>
    <w:p>
      <w:pPr>
        <w:ind w:right="60" w:firstLine="382"/>
        <w:spacing w:after="0" w:line="263" w:lineRule="auto"/>
        <w:rPr>
          <w:sz w:val="20"/>
          <w:szCs w:val="20"/>
          <w:color w:val="auto"/>
        </w:rPr>
      </w:pPr>
      <w:r>
        <w:rPr>
          <w:rFonts w:ascii="Arial" w:cs="Arial" w:eastAsia="Arial" w:hAnsi="Arial"/>
          <w:sz w:val="18"/>
          <w:szCs w:val="18"/>
          <w:color w:val="auto"/>
        </w:rPr>
        <w:t>The Company’s 2018 Stock Incentive Plan (the “2018 Plan”), provided for the Company to grant qualified incentive options, nonqualified options, stock grants and other stock-based awards to employees and non-employees to purchase the Company’s common stock. Upon the effectiveness of the 2021 Plan (as defined below), no further issuances will be made under the 2018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Stock Option and Incentive Plan</w:t>
      </w:r>
    </w:p>
    <w:p>
      <w:pPr>
        <w:spacing w:after="0" w:line="117"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The 2021 Equity Incentive Plan (the “2021 Plan”) was approved by the board of directors on January 27, 2021, and the Company’s stockholders on January 28, 2021 and became effective on the execution of the underwriting agreement related to the IPO. The 2021 Plan provides for the grant of incentive stock options to employees, including employees of any parent or subsidiary corporations, and for the grant of nonstatutory stock options, stock appreciation rights, restricted stock awards, restricted stock unit awards, performance awards and other forms of stock awards to employees, directors, and consultants, including employees and consultants of the Company’s affiliates. The number of shares initially reserved for issuance under the 2021 Plan was 5,000,000, which will automatically increase on January 1 of each calendar year, starting on January 1, 2022 through January 1, 2031, in an amount equal to 4.0% of the total number of shares of the Company’s capital stock outstanding on the last day of the calendar month before the date of each automatic increase, or a lesser number of shares determined by the board of directors.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ind w:right="60" w:firstLine="382"/>
        <w:spacing w:after="0" w:line="290" w:lineRule="auto"/>
        <w:rPr>
          <w:sz w:val="20"/>
          <w:szCs w:val="20"/>
          <w:color w:val="auto"/>
        </w:rPr>
      </w:pPr>
      <w:r>
        <w:rPr>
          <w:rFonts w:ascii="Arial" w:cs="Arial" w:eastAsia="Arial" w:hAnsi="Arial"/>
          <w:sz w:val="16"/>
          <w:szCs w:val="16"/>
          <w:color w:val="auto"/>
        </w:rPr>
        <w:t>The 2021 Employee Stock Purchase Plan (the “2021 ESPP”) was approved by the Company’s board of directors on January 27, 2021, and became effective on the execution of the underwriting agreement related to the IPO. A total of 333,333 shares of common stock were initially reserved for issuance under this plan, which will automatically increase on January 1 of each calendar year, beginning on January 1, 2022 through January 1, 2031, by 1.0% of the total shares of common stock outstanding on December 31st of the preceding calendar year, or the Evergreen Measurement Date; provided, that the number of shares added to the share reserve will be reduced automatically to the extent necessary to avoid causing the share reserve to exceed a number of shares equal to 1.0% of the shares of common stock outstanding on the applicable Evergreen Measurement Date and the board of directors may act prior to the first day of any calendar year to provide that there will be no January 1 increase in the share reserve for such calendar year or that the increase in the share reserve for such calendar year will be a lesser number of shares of the Company’s common stock than would otherwise occur.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2021, the Company granted options to purchase shares of common stock to employees, consultants, and nonexecutive directors pursuant to the</w:t>
      </w:r>
    </w:p>
    <w:p>
      <w:pPr>
        <w:spacing w:after="0" w:line="46"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2018 Plan and 2021 Plan, respectively. The Company uses the Black-Scholes option-pricing model to estimate the fair value of the stock options on the grant dates at a weighted average fair value of $12.95.</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the stock option award activity during the six months ended June 30,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of Stock</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5860" w:type="dxa"/>
            <w:vAlign w:val="bottom"/>
            <w:vMerge w:val="restart"/>
          </w:tcPr>
          <w:p>
            <w:pPr>
              <w:spacing w:after="0"/>
              <w:rPr>
                <w:sz w:val="20"/>
                <w:szCs w:val="20"/>
                <w:color w:val="auto"/>
              </w:rPr>
            </w:pPr>
            <w:r>
              <w:rPr>
                <w:rFonts w:ascii="Arial" w:cs="Arial" w:eastAsia="Arial" w:hAnsi="Arial"/>
                <w:sz w:val="18"/>
                <w:szCs w:val="18"/>
                <w:color w:val="auto"/>
              </w:rPr>
              <w:t>Outstanding at December 31, 2020</w:t>
            </w: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1,947,123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CFF0FC"/>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5.70</w:t>
            </w:r>
          </w:p>
        </w:tc>
        <w:tc>
          <w:tcPr>
            <w:tcW w:w="24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9.56</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10,284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1,529,492</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(262,498)</w:t>
            </w:r>
          </w:p>
        </w:tc>
        <w:tc>
          <w:tcPr>
            <w:tcW w:w="2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(6.13)</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Expired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3,214,117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Exercisable at June 30, 2021</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vMerge w:val="restart"/>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12.66</w:t>
            </w:r>
          </w:p>
        </w:tc>
        <w:tc>
          <w:tcPr>
            <w:tcW w:w="2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8.88</w:t>
            </w:r>
          </w:p>
        </w:tc>
        <w:tc>
          <w:tcPr>
            <w:tcW w:w="2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4,490</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607,865</w:t>
            </w:r>
          </w:p>
        </w:tc>
        <w:tc>
          <w:tcPr>
            <w:tcW w:w="14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expected to vest as of June 30, 2021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2,606,252</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total fair value of options vested during the six months ended June 30, 2021 was $1.7 million.</w:t>
      </w:r>
    </w:p>
    <w:p>
      <w:pPr>
        <w:spacing w:after="0" w:line="225" w:lineRule="exact"/>
        <w:rPr>
          <w:sz w:val="20"/>
          <w:szCs w:val="20"/>
          <w:color w:val="auto"/>
        </w:rPr>
      </w:pPr>
    </w:p>
    <w:p>
      <w:pPr>
        <w:ind w:right="40" w:firstLine="382"/>
        <w:spacing w:after="0" w:line="277" w:lineRule="auto"/>
        <w:rPr>
          <w:sz w:val="20"/>
          <w:szCs w:val="20"/>
          <w:color w:val="auto"/>
        </w:rPr>
      </w:pPr>
      <w:r>
        <w:rPr>
          <w:rFonts w:ascii="Arial" w:cs="Arial" w:eastAsia="Arial" w:hAnsi="Arial"/>
          <w:sz w:val="18"/>
          <w:szCs w:val="18"/>
          <w:color w:val="auto"/>
        </w:rPr>
        <w:t>At June 30, 2021, there was approximately $21.0 million of unrecognized stock-based compensation expense associated with the stock options, which is expected to be recognized over a weighted-average period of 3.36 years.</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the employee-issued common stock warrant activity during the six months ended June 30, 2021: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Common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57,212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Expired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and exercisable at June 30,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57,212</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400" w:type="dxa"/>
            <w:vAlign w:val="bottom"/>
            <w:tcBorders>
              <w:bottom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June 30, 2021 there was no unrecognized stock-based compensation expense associated with the common stock warrants.</w:t>
      </w:r>
    </w:p>
    <w:p>
      <w:pPr>
        <w:spacing w:after="0" w:line="200" w:lineRule="exact"/>
        <w:rPr>
          <w:sz w:val="20"/>
          <w:szCs w:val="20"/>
          <w:color w:val="auto"/>
        </w:rPr>
      </w:pPr>
    </w:p>
    <w:p>
      <w:pPr>
        <w:spacing w:after="0" w:line="349" w:lineRule="exact"/>
        <w:rPr>
          <w:sz w:val="20"/>
          <w:szCs w:val="20"/>
          <w:color w:val="auto"/>
        </w:rPr>
      </w:pPr>
    </w:p>
    <w:p>
      <w:pPr>
        <w:ind w:right="500" w:firstLine="382"/>
        <w:spacing w:after="0" w:line="342" w:lineRule="auto"/>
        <w:rPr>
          <w:sz w:val="20"/>
          <w:szCs w:val="20"/>
          <w:color w:val="auto"/>
        </w:rPr>
      </w:pPr>
      <w:r>
        <w:rPr>
          <w:rFonts w:ascii="Arial" w:cs="Arial" w:eastAsia="Arial" w:hAnsi="Arial"/>
          <w:sz w:val="16"/>
          <w:szCs w:val="16"/>
          <w:color w:val="auto"/>
        </w:rPr>
        <w:t>For the six months ended June 30, 2021, the Company utilized the Black-Scholes option-pricing model for estimating the fair value of the stock options granted. The following table presents the assumptions and the Company’s methodology for developing each of the assumptions used: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448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6760" w:type="dxa"/>
            <w:vAlign w:val="bottom"/>
            <w:tcBorders>
              <w:bottom w:val="single" w:sz="8" w:color="CFF0FC"/>
            </w:tcBorders>
          </w:tcPr>
          <w:p>
            <w:pPr>
              <w:spacing w:after="0"/>
              <w:rPr>
                <w:sz w:val="13"/>
                <w:szCs w:val="13"/>
                <w:color w:val="auto"/>
              </w:rPr>
            </w:pPr>
          </w:p>
        </w:tc>
        <w:tc>
          <w:tcPr>
            <w:tcW w:w="44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2021</w:t>
            </w: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4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90.55%-98.04%</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Expected life (years)</w:t>
            </w: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5.52-6.08</w:t>
            </w:r>
          </w:p>
        </w:tc>
      </w:tr>
      <w:tr>
        <w:trPr>
          <w:trHeight w:val="22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0.5%–1.1%</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Dividend rate</w:t>
            </w:r>
          </w:p>
        </w:tc>
        <w:tc>
          <w:tcPr>
            <w:tcW w:w="44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5" w:name="page16"/>
    <w:bookmarkEnd w:id="15"/>
    <w:p>
      <w:pPr>
        <w:ind w:left="760" w:right="800" w:hanging="374"/>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Volatility—The Company estimates the expected volatility of its common stock at the date of grant based on the historical volatility of comparable public companies over the expected term.</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life—The expected life is estimated as the contractual term.</w:t>
      </w:r>
    </w:p>
    <w:p>
      <w:pPr>
        <w:spacing w:after="0" w:line="144" w:lineRule="exact"/>
        <w:rPr>
          <w:rFonts w:ascii="Arial" w:cs="Arial" w:eastAsia="Arial" w:hAnsi="Arial"/>
          <w:sz w:val="18"/>
          <w:szCs w:val="18"/>
          <w:color w:val="auto"/>
        </w:rPr>
      </w:pPr>
    </w:p>
    <w:p>
      <w:pPr>
        <w:ind w:left="760" w:right="320" w:hanging="374"/>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Risk-free interest rate—The risk-free rate for periods within the estimated life of the stock award is based on the U.S. Treasury yield curve in effect at the time of grant.</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Dividend rate—The assumed dividend yield is based upon the Company’s expectation of not paying dividends in the foreseeable future.</w:t>
      </w:r>
    </w:p>
    <w:p>
      <w:pPr>
        <w:spacing w:after="0" w:line="200" w:lineRule="exact"/>
        <w:rPr>
          <w:sz w:val="20"/>
          <w:szCs w:val="20"/>
          <w:color w:val="auto"/>
        </w:rPr>
      </w:pPr>
    </w:p>
    <w:p>
      <w:pPr>
        <w:spacing w:after="0" w:line="388" w:lineRule="exact"/>
        <w:rPr>
          <w:sz w:val="20"/>
          <w:szCs w:val="20"/>
          <w:color w:val="auto"/>
        </w:rPr>
      </w:pPr>
    </w:p>
    <w:p>
      <w:pPr>
        <w:ind w:right="120" w:firstLine="382"/>
        <w:spacing w:after="0" w:line="277" w:lineRule="auto"/>
        <w:rPr>
          <w:sz w:val="20"/>
          <w:szCs w:val="20"/>
          <w:color w:val="auto"/>
        </w:rPr>
      </w:pPr>
      <w:r>
        <w:rPr>
          <w:rFonts w:ascii="Arial" w:cs="Arial" w:eastAsia="Arial" w:hAnsi="Arial"/>
          <w:sz w:val="18"/>
          <w:szCs w:val="18"/>
          <w:color w:val="auto"/>
        </w:rPr>
        <w:t>Stock-based compensation expense was recorded in the following line items in the condensed consolidated statements of operations for the three and six months ended June 30, 2021 and 2020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237"/>
        </w:trPr>
        <w:tc>
          <w:tcPr>
            <w:tcW w:w="5600" w:type="dxa"/>
            <w:vAlign w:val="bottom"/>
            <w:tcBorders>
              <w:bottom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r>
      <w:tr>
        <w:trPr>
          <w:trHeight w:val="243"/>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FF0FC"/>
            </w:tcBorders>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FF0FC"/>
            </w:tcBorders>
          </w:tcPr>
          <w:p>
            <w:pPr>
              <w:spacing w:after="0"/>
              <w:rPr>
                <w:sz w:val="21"/>
                <w:szCs w:val="21"/>
                <w:color w:val="auto"/>
              </w:rPr>
            </w:pPr>
          </w:p>
        </w:tc>
      </w:tr>
      <w:tr>
        <w:trPr>
          <w:trHeight w:val="236"/>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20"/>
                <w:szCs w:val="20"/>
                <w:color w:val="auto"/>
              </w:rPr>
            </w:pPr>
          </w:p>
        </w:tc>
      </w:tr>
      <w:tr>
        <w:trPr>
          <w:trHeight w:val="20"/>
        </w:trPr>
        <w:tc>
          <w:tcPr>
            <w:tcW w:w="56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RETIREMENT PLAN</w:t>
      </w:r>
    </w:p>
    <w:p>
      <w:pPr>
        <w:spacing w:after="0" w:line="121" w:lineRule="exact"/>
        <w:rPr>
          <w:sz w:val="20"/>
          <w:szCs w:val="20"/>
          <w:color w:val="auto"/>
        </w:rPr>
      </w:pPr>
    </w:p>
    <w:p>
      <w:pPr>
        <w:ind w:right="180" w:firstLine="382"/>
        <w:spacing w:after="0" w:line="275" w:lineRule="auto"/>
        <w:rPr>
          <w:sz w:val="20"/>
          <w:szCs w:val="20"/>
          <w:color w:val="auto"/>
        </w:rPr>
      </w:pPr>
      <w:r>
        <w:rPr>
          <w:rFonts w:ascii="Arial" w:cs="Arial" w:eastAsia="Arial" w:hAnsi="Arial"/>
          <w:sz w:val="17"/>
          <w:szCs w:val="17"/>
          <w:color w:val="auto"/>
        </w:rPr>
        <w:t>The Company maintains a defined contribution 401(k) profit-sharing plan (the “Plan”) for all employees. Under the Plan, participants may make voluntary contributions up to the maximum amount allowable by law. The Plan is based on employees’ salary deferral, and the Company matches employees’ contributions up to 4% of the employees’ base salary. Employees are 100% vested in the Company’s match contributions. During the three months ended June 30, 2021 and 2020, the Company accrued expense of $76 thousand and $26 thousand, respectively. During the six months ended June 30, 2021 and 2020, the Company accrued expenses of $105 thousand and $52 thousand,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RELATED-PARTY TRANSACTIONS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March 2020, a principal owner of the Company purchased the 2019 Special Note directly from the original holder.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117" w:lineRule="exact"/>
        <w:rPr>
          <w:sz w:val="20"/>
          <w:szCs w:val="20"/>
          <w:color w:val="auto"/>
        </w:rPr>
      </w:pPr>
    </w:p>
    <w:p>
      <w:pPr>
        <w:ind w:right="100" w:firstLine="382"/>
        <w:spacing w:after="0" w:line="259" w:lineRule="auto"/>
        <w:rPr>
          <w:sz w:val="20"/>
          <w:szCs w:val="20"/>
          <w:color w:val="auto"/>
        </w:rPr>
      </w:pPr>
      <w:r>
        <w:rPr>
          <w:rFonts w:ascii="Arial" w:cs="Arial" w:eastAsia="Arial" w:hAnsi="Arial"/>
          <w:sz w:val="18"/>
          <w:szCs w:val="18"/>
          <w:color w:val="auto"/>
        </w:rPr>
        <w:t>During 2020, the Company entered into an agreement with a principal owner of the Company to provide consulting services to the Company in exchange for $1,500 thousand. Under the terms of the agreement, the Company recorded expense of $1,125 thousand in 2020, with the $1,500 thousand payment made in January 2021. The contract was completed and the remaining balance of $375 thousand under the agreement was recorded as an expense in January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recorded no provision for income taxes for the three and six months ended June 30, 2021 and 2020.</w:t>
      </w:r>
    </w:p>
    <w:p>
      <w:pPr>
        <w:spacing w:after="0" w:line="225" w:lineRule="exact"/>
        <w:rPr>
          <w:sz w:val="20"/>
          <w:szCs w:val="20"/>
          <w:color w:val="auto"/>
        </w:rPr>
      </w:pPr>
    </w:p>
    <w:p>
      <w:pPr>
        <w:ind w:right="120" w:firstLine="382"/>
        <w:spacing w:after="0" w:line="255" w:lineRule="auto"/>
        <w:rPr>
          <w:sz w:val="20"/>
          <w:szCs w:val="20"/>
          <w:color w:val="auto"/>
        </w:rPr>
      </w:pPr>
      <w:r>
        <w:rPr>
          <w:rFonts w:ascii="Arial" w:cs="Arial" w:eastAsia="Arial" w:hAnsi="Arial"/>
          <w:sz w:val="18"/>
          <w:szCs w:val="18"/>
          <w:color w:val="auto"/>
        </w:rPr>
        <w:t>Deferred tax assets and deferred tax liabilities are recognized based on temporary differences between the financial reporting and tax bases of assets and liabilities using statutory rates. Management of the Company has evaluated the positive and negative evidence bearing upon the realizability of its deferred tax assets, which are comprised principally of net operating loss carryforwards and research and development credits. Under the applicable accounting standards, management has considered the Company’s history of losses and concluded that it is more likely than not that the Company will not recognize the benefits of federal and state deferred tax assets. Accordingly, a full valuation allowance has been established against the Company’s otherwise recognizable net deferred tax assets.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14. NET LOSS PER SHARE</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Basic and diluted net loss per share attributable to common stockholders is calculated as follows (in thousands except share and per share amounts):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22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Cumulative dividends on convertible preferred stock</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5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FF0FC"/>
            </w:tcBorders>
            <w:vMerge w:val="continue"/>
          </w:tcPr>
          <w:p>
            <w:pPr>
              <w:spacing w:after="0"/>
              <w:rPr>
                <w:sz w:val="21"/>
                <w:szCs w:val="21"/>
                <w:color w:val="auto"/>
              </w:rPr>
            </w:pPr>
          </w:p>
        </w:tc>
        <w:tc>
          <w:tcPr>
            <w:tcW w:w="40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FF0FC"/>
            </w:tcBorders>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6"/>
              </w:rPr>
              <w:t>Weighted-average number of shares used in computing net loss per</w:t>
            </w:r>
          </w:p>
        </w:tc>
        <w:tc>
          <w:tcPr>
            <w:tcW w:w="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share—basic and diluted</w:t>
            </w:r>
          </w:p>
        </w:tc>
        <w:tc>
          <w:tcPr>
            <w:tcW w:w="4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30,588,495</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1,625,011</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24,778,949</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1,413,062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20" w:firstLine="382"/>
        <w:spacing w:after="0" w:line="292" w:lineRule="auto"/>
        <w:rPr>
          <w:sz w:val="20"/>
          <w:szCs w:val="20"/>
          <w:color w:val="auto"/>
        </w:rPr>
      </w:pPr>
      <w:r>
        <w:rPr>
          <w:rFonts w:ascii="Arial" w:cs="Arial" w:eastAsia="Arial" w:hAnsi="Arial"/>
          <w:sz w:val="18"/>
          <w:szCs w:val="18"/>
          <w:color w:val="auto"/>
        </w:rPr>
        <w:t>The following outstanding potentially dilutive securities have been excluded from the calculation of diluted net loss per share, as their effect is anti-dilutive: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3480" w:type="dxa"/>
            <w:vAlign w:val="bottom"/>
            <w:gridSpan w:val="4"/>
          </w:tcPr>
          <w:p>
            <w:pPr>
              <w:ind w:left="860"/>
              <w:spacing w:after="0"/>
              <w:rPr>
                <w:sz w:val="20"/>
                <w:szCs w:val="20"/>
                <w:color w:val="auto"/>
              </w:rPr>
            </w:pPr>
            <w:r>
              <w:rPr>
                <w:rFonts w:ascii="Arial" w:cs="Arial" w:eastAsia="Arial" w:hAnsi="Arial"/>
                <w:sz w:val="14"/>
                <w:szCs w:val="14"/>
                <w:b w:val="1"/>
                <w:bCs w:val="1"/>
                <w:color w:val="auto"/>
              </w:rPr>
              <w:t>For the Six Months Ended</w:t>
            </w:r>
          </w:p>
        </w:tc>
      </w:tr>
      <w:tr>
        <w:trPr>
          <w:trHeight w:val="156"/>
        </w:trPr>
        <w:tc>
          <w:tcPr>
            <w:tcW w:w="7760" w:type="dxa"/>
            <w:vAlign w:val="bottom"/>
            <w:tcBorders>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527,138,337</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1540" w:type="dxa"/>
            <w:vAlign w:val="bottom"/>
          </w:tcPr>
          <w:p>
            <w:pPr>
              <w:jc w:val="right"/>
              <w:spacing w:after="0"/>
              <w:rPr>
                <w:sz w:val="20"/>
                <w:szCs w:val="20"/>
                <w:color w:val="auto"/>
              </w:rPr>
            </w:pPr>
            <w:r>
              <w:rPr>
                <w:rFonts w:ascii="Arial" w:cs="Arial" w:eastAsia="Arial" w:hAnsi="Arial"/>
                <w:sz w:val="18"/>
                <w:szCs w:val="18"/>
                <w:color w:val="auto"/>
              </w:rPr>
              <w:t>3,214,117</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77,604</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Warrants issued to employees and contractor to purchase common stock</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57,212</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57,420</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Warrants issued related to convertible notes and other equity agreements</w:t>
            </w:r>
          </w:p>
        </w:tc>
        <w:tc>
          <w:tcPr>
            <w:tcW w:w="1540" w:type="dxa"/>
            <w:vAlign w:val="bottom"/>
          </w:tcPr>
          <w:p>
            <w:pPr>
              <w:jc w:val="right"/>
              <w:spacing w:after="0"/>
              <w:rPr>
                <w:sz w:val="20"/>
                <w:szCs w:val="20"/>
                <w:color w:val="auto"/>
              </w:rPr>
            </w:pPr>
            <w:r>
              <w:rPr>
                <w:rFonts w:ascii="Arial" w:cs="Arial" w:eastAsia="Arial" w:hAnsi="Arial"/>
                <w:sz w:val="18"/>
                <w:szCs w:val="18"/>
                <w:color w:val="auto"/>
              </w:rPr>
              <w:t>412,262</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412,262</w:t>
            </w:r>
          </w:p>
        </w:tc>
        <w:tc>
          <w:tcPr>
            <w:tcW w:w="100" w:type="dxa"/>
            <w:vAlign w:val="bottom"/>
          </w:tcPr>
          <w:p>
            <w:pPr>
              <w:spacing w:after="0"/>
              <w:rPr>
                <w:sz w:val="20"/>
                <w:szCs w:val="20"/>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right="260" w:firstLine="382"/>
        <w:spacing w:after="0" w:line="277" w:lineRule="auto"/>
        <w:rPr>
          <w:sz w:val="20"/>
          <w:szCs w:val="20"/>
          <w:color w:val="auto"/>
        </w:rPr>
      </w:pPr>
      <w:r>
        <w:rPr>
          <w:rFonts w:ascii="Arial" w:cs="Arial" w:eastAsia="Arial" w:hAnsi="Arial"/>
          <w:sz w:val="18"/>
          <w:szCs w:val="18"/>
          <w:color w:val="auto"/>
        </w:rPr>
        <w:t>On August 6, 2021, the Small Business Administration (“SBA”) approved the forgiveness for the full amount of the PPP Loan disclosed in Note 6, which included principal of $567 thousand, plus interest.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“may,” “might,” “can,” “will,” “to be,” “could,” “would,” “should,” “expect,” “intend,” “plan,” “objective,” “anticipate,” “believe,” “estimate,” “predict,” “project,” “potential,” “likely,” “continue,” “ongoing” or similar expressions, or the negative of such words,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in this Quarterly Report on Form 10-Q and those in our Annual Report on Form 10-K, in each case under the caption “Risk Factors,” and in our other filings with the Securities and Exchange Commission, or SEC.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74"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condensed consolidated financial statements and related notes that appear in Item 1 of this Quarterly Report on Form 10-Q and with our audited consolidated financial statements and related notes for the year ended December 31, 2020, which are included in our Annual Report on Form 10-K filed with the SEC on March 30,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382"/>
        <w:spacing w:after="0" w:line="263" w:lineRule="auto"/>
        <w:rPr>
          <w:sz w:val="20"/>
          <w:szCs w:val="20"/>
          <w:color w:val="auto"/>
        </w:rPr>
      </w:pPr>
      <w:r>
        <w:rPr>
          <w:rFonts w:ascii="Arial" w:cs="Arial" w:eastAsia="Arial" w:hAnsi="Arial"/>
          <w:sz w:val="18"/>
          <w:szCs w:val="18"/>
          <w:color w:val="auto"/>
        </w:rPr>
        <w:t>We are developing a pipeline of medicines designed to fulfill the substantial potential of the immune system to defeat cancer and other diseases. Our research investment today is directed toward two immuno-oncology platforms, (i) our ImmunoPhage™ platform and Phortress™ library and (ii) our Tumor Microenvironment Antibody biologics, or TMAb platform:</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ImmunoPhage platform and Phortress Library.</w:t>
      </w:r>
    </w:p>
    <w:p>
      <w:pPr>
        <w:spacing w:after="0" w:line="117" w:lineRule="exact"/>
        <w:rPr>
          <w:sz w:val="20"/>
          <w:szCs w:val="20"/>
          <w:color w:val="auto"/>
        </w:rPr>
      </w:pPr>
    </w:p>
    <w:p>
      <w:pPr>
        <w:ind w:right="220" w:firstLine="382"/>
        <w:spacing w:after="0" w:line="257" w:lineRule="auto"/>
        <w:rPr>
          <w:sz w:val="20"/>
          <w:szCs w:val="20"/>
          <w:color w:val="auto"/>
        </w:rPr>
      </w:pPr>
      <w:r>
        <w:rPr>
          <w:rFonts w:ascii="Arial" w:cs="Arial" w:eastAsia="Arial" w:hAnsi="Arial"/>
          <w:sz w:val="18"/>
          <w:szCs w:val="18"/>
          <w:color w:val="auto"/>
        </w:rPr>
        <w:t>Our proprietary ImmunoPhage platform is a powerful, self-adjuvanted and highly differentiated immunotherapy. We use inactivated bacteriophage virus, which is ubiquitous and has the potential to induce a robust, focused and coordinated innate and adaptive immune response. In addition, as part of this platform, we are creating an expanding library of pre-manufactured immunophages, which we refer to as our Phortress library. The versatility of our ImmunoPhage platform allows us to design product candidates in a modular, off-the-shelf fashion based on a cocktail of common and patient-specific antigens built from the Phortress library.</w:t>
      </w:r>
    </w:p>
    <w:p>
      <w:pPr>
        <w:spacing w:after="0" w:line="80" w:lineRule="exact"/>
        <w:rPr>
          <w:sz w:val="20"/>
          <w:szCs w:val="20"/>
          <w:color w:val="auto"/>
        </w:rPr>
      </w:pPr>
    </w:p>
    <w:p>
      <w:pPr>
        <w:ind w:right="240" w:firstLine="382"/>
        <w:spacing w:after="0" w:line="263" w:lineRule="auto"/>
        <w:rPr>
          <w:sz w:val="20"/>
          <w:szCs w:val="20"/>
          <w:color w:val="auto"/>
        </w:rPr>
      </w:pPr>
      <w:r>
        <w:rPr>
          <w:rFonts w:ascii="Arial" w:cs="Arial" w:eastAsia="Arial" w:hAnsi="Arial"/>
          <w:sz w:val="18"/>
          <w:szCs w:val="18"/>
          <w:color w:val="auto"/>
        </w:rPr>
        <w:t>Our ImmunoPhage platform is designed to deliver three distinct technological advantages over existing platforms: 1) the use of bacteriophage to deliver a highly immunogenic vaccine strategy; 2) gene transfer technology for exquisite targeting of antigen presenting cells, or APCs; and 3) speed-to-treatment capabilities via the Phortress library.</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ImmunoPhage product candidate: SNS-401-NG</w:t>
      </w:r>
    </w:p>
    <w:p>
      <w:pPr>
        <w:spacing w:after="0" w:line="117"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SNS-401-NG, our multi-antigenic personalized ImmunoPhage candidate, is being developed in collaboration with the University of Washington. SNS-401-NG is being designed on an improved and proprietary bacteriophage construct based on learnings from our first-generation product candidate, SNS-301, which we discontinued development of in June 2021. We intend to initiate IND-enabling studies for this product candidate in the second half of 2022. We intend to initially develop SNS-401-NG for the treatment of Merkel Cell Carcinoma or MCC, an aggressive form of skin cancer commonly driven by the Merkel Cell Polyoma Virus. If clinical proof of concept is achieved, we plan to evaluate a broader basket study in patients with head and neck cancer, lung cancer, melanoma, and triple negative breast cancer based on the prevalence of Phortress antigens.</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TMAb platform</w:t>
      </w:r>
    </w:p>
    <w:p>
      <w:pPr>
        <w:spacing w:after="0" w:line="117" w:lineRule="exact"/>
        <w:rPr>
          <w:sz w:val="20"/>
          <w:szCs w:val="20"/>
          <w:color w:val="auto"/>
        </w:rPr>
      </w:pPr>
    </w:p>
    <w:p>
      <w:pPr>
        <w:ind w:right="80" w:firstLine="382"/>
        <w:spacing w:after="0" w:line="296" w:lineRule="auto"/>
        <w:rPr>
          <w:sz w:val="20"/>
          <w:szCs w:val="20"/>
          <w:color w:val="auto"/>
        </w:rPr>
      </w:pPr>
      <w:r>
        <w:rPr>
          <w:rFonts w:ascii="Arial" w:cs="Arial" w:eastAsia="Arial" w:hAnsi="Arial"/>
          <w:sz w:val="16"/>
          <w:szCs w:val="16"/>
          <w:color w:val="auto"/>
        </w:rPr>
        <w:t>Our TMAb platform is comprised of human monoclonal antibodies and alpaca-derived nanobodies selectively active in the tumor microenvironment. We are initially focusing our research for this platform on an immune checkpoint regulator V-set Immunoglobulin Domain Ig Suppressor of T cell activation, or VISTA, which may play a role in both intrinsic and acquired PD-1/PD-L1 resistance, and V-Set And Immunoglobulin Domain Containing 4, or VSIG4, a potent inhibitor of T cell activity, often overexpressed on macrophages within the tumor microenvironment. Through the targeted use of this platform, we believe we can further enhance activity of cancer therapies either as a monotherapy or synergistic with PD-1/PD-L1 inhibition.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8" w:name="page19"/>
    <w:bookmarkEnd w:id="18"/>
    <w:p>
      <w:pPr>
        <w:ind w:left="380"/>
        <w:spacing w:after="0"/>
        <w:rPr>
          <w:sz w:val="20"/>
          <w:szCs w:val="20"/>
          <w:color w:val="auto"/>
        </w:rPr>
      </w:pPr>
      <w:r>
        <w:rPr>
          <w:rFonts w:ascii="Arial" w:cs="Arial" w:eastAsia="Arial" w:hAnsi="Arial"/>
          <w:sz w:val="18"/>
          <w:szCs w:val="18"/>
          <w:u w:val="single" w:color="auto"/>
          <w:color w:val="auto"/>
        </w:rPr>
        <w:t>TMAb platform product candidates: SNS-VISTA and VSIG4 program</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SNS-VISTA has been designed to selectively target pH-sensitive antibodies that bind only at the tumor site, as opposed to at the physiological site.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Antibodies that bind at the physiological site in the tumor may encounter a “sink”, which may prevent effective binding and lead to toxicities.</w:t>
      </w:r>
    </w:p>
    <w:p>
      <w:pPr>
        <w:spacing w:after="0" w:line="103" w:lineRule="exact"/>
        <w:rPr>
          <w:sz w:val="20"/>
          <w:szCs w:val="20"/>
          <w:color w:val="auto"/>
        </w:rPr>
      </w:pPr>
    </w:p>
    <w:p>
      <w:pPr>
        <w:ind w:firstLine="382"/>
        <w:spacing w:after="0" w:line="263" w:lineRule="auto"/>
        <w:rPr>
          <w:sz w:val="20"/>
          <w:szCs w:val="20"/>
          <w:color w:val="auto"/>
        </w:rPr>
      </w:pPr>
      <w:r>
        <w:rPr>
          <w:rFonts w:ascii="Arial" w:cs="Arial" w:eastAsia="Arial" w:hAnsi="Arial"/>
          <w:sz w:val="18"/>
          <w:szCs w:val="18"/>
          <w:color w:val="auto"/>
        </w:rPr>
        <w:t>We have identified a set of fully-human, highly selective pH-dependent anti-VISTA antibodies, which we are evaluating preclinically. In August 2021, we announced early in vivo data. In a human VISTA knock-in mouse model, these parental antibodies significantly enhanced ani-tumor responses in combination with PD-1 blockade compared to treatment with PD-1 blockade alone.</w:t>
      </w:r>
    </w:p>
    <w:p>
      <w:pPr>
        <w:spacing w:after="0" w:line="76" w:lineRule="exact"/>
        <w:rPr>
          <w:sz w:val="20"/>
          <w:szCs w:val="20"/>
          <w:color w:val="auto"/>
        </w:rPr>
      </w:pPr>
    </w:p>
    <w:p>
      <w:pPr>
        <w:ind w:right="40" w:firstLine="382"/>
        <w:spacing w:after="0" w:line="277" w:lineRule="auto"/>
        <w:rPr>
          <w:sz w:val="20"/>
          <w:szCs w:val="20"/>
          <w:color w:val="auto"/>
        </w:rPr>
      </w:pPr>
      <w:r>
        <w:rPr>
          <w:rFonts w:ascii="Arial" w:cs="Arial" w:eastAsia="Arial" w:hAnsi="Arial"/>
          <w:sz w:val="18"/>
          <w:szCs w:val="18"/>
          <w:color w:val="auto"/>
        </w:rPr>
        <w:t>We plan to present preclinical data from the SNS-VISTA program at a scientific conference in 2021 and to initiate IND-enabling studies by the end of 2021.</w:t>
      </w:r>
    </w:p>
    <w:p>
      <w:pPr>
        <w:spacing w:after="0" w:line="62" w:lineRule="exact"/>
        <w:rPr>
          <w:sz w:val="20"/>
          <w:szCs w:val="20"/>
          <w:color w:val="auto"/>
        </w:rPr>
      </w:pPr>
    </w:p>
    <w:p>
      <w:pPr>
        <w:ind w:right="220" w:firstLine="382"/>
        <w:spacing w:after="0" w:line="286" w:lineRule="auto"/>
        <w:rPr>
          <w:sz w:val="20"/>
          <w:szCs w:val="20"/>
          <w:color w:val="auto"/>
        </w:rPr>
      </w:pPr>
      <w:r>
        <w:rPr>
          <w:rFonts w:ascii="Arial" w:cs="Arial" w:eastAsia="Arial" w:hAnsi="Arial"/>
          <w:sz w:val="17"/>
          <w:szCs w:val="17"/>
          <w:color w:val="auto"/>
        </w:rPr>
        <w:t>VSIG4 is a B7-family related protein and a potent inhibitor of T cell activity, often overexpressed on macrophages within the tumor microenvironment. VSIG4 may play a role in enforcing the immunosuppressive program in macrophage-rich tumors. Inhibition of VSIG4 activity could also enhance T cell-mediated anti-tumor immune responses. We anticipate the selection of a product candidate from this program in 2023.</w:t>
      </w:r>
    </w:p>
    <w:p>
      <w:pPr>
        <w:spacing w:after="0" w:line="57" w:lineRule="exact"/>
        <w:rPr>
          <w:sz w:val="20"/>
          <w:szCs w:val="20"/>
          <w:color w:val="auto"/>
        </w:rPr>
      </w:pPr>
    </w:p>
    <w:p>
      <w:pPr>
        <w:ind w:right="200" w:firstLine="382"/>
        <w:spacing w:after="0" w:line="301" w:lineRule="auto"/>
        <w:rPr>
          <w:sz w:val="20"/>
          <w:szCs w:val="20"/>
          <w:color w:val="auto"/>
        </w:rPr>
      </w:pPr>
      <w:r>
        <w:rPr>
          <w:rFonts w:ascii="Arial" w:cs="Arial" w:eastAsia="Arial" w:hAnsi="Arial"/>
          <w:sz w:val="16"/>
          <w:szCs w:val="16"/>
          <w:color w:val="auto"/>
        </w:rPr>
        <w:t>We do not have any product candidates approved for sale, have not generated any revenue from product sales, and do not expect to generate any revenue from product sales for at least the next several years. We have largely funded our operations with proceeds from the sale of convertible preferred stock, common stock and convertible debt. Through the date of this report, we have raised an aggregate of $123.4 million of gross proceeds from private placements of our equity and convertible debt securities and net proceeds of $138.5 million from our initial public offering, or IPO, in February 2021.</w:t>
      </w:r>
    </w:p>
    <w:p>
      <w:pPr>
        <w:spacing w:after="0" w:line="49" w:lineRule="exact"/>
        <w:rPr>
          <w:sz w:val="20"/>
          <w:szCs w:val="20"/>
          <w:color w:val="auto"/>
        </w:rPr>
      </w:pPr>
    </w:p>
    <w:p>
      <w:pPr>
        <w:ind w:right="300" w:firstLine="382"/>
        <w:spacing w:after="0" w:line="259" w:lineRule="auto"/>
        <w:rPr>
          <w:sz w:val="20"/>
          <w:szCs w:val="20"/>
          <w:color w:val="auto"/>
        </w:rPr>
      </w:pPr>
      <w:r>
        <w:rPr>
          <w:rFonts w:ascii="Arial" w:cs="Arial" w:eastAsia="Arial" w:hAnsi="Arial"/>
          <w:sz w:val="18"/>
          <w:szCs w:val="18"/>
          <w:color w:val="auto"/>
        </w:rPr>
        <w:t>We have incurred significant operating losses over the last several years. Our net loss was $17.7 million and $9.6 million for the six months ended June 30, 2021 and 2020, respectively. As of June 30, 2021, we had an accumulated deficit of $130.2 million. We expect to continue to incur significant expenses and operating losses for the foreseeable future. We anticipate that our expenses will increase significantly in connection with our ongoing activities, as we:</w:t>
      </w:r>
    </w:p>
    <w:p>
      <w:pPr>
        <w:spacing w:after="0" w:line="79" w:lineRule="exact"/>
        <w:rPr>
          <w:sz w:val="20"/>
          <w:szCs w:val="20"/>
          <w:color w:val="auto"/>
        </w:rPr>
      </w:pPr>
    </w:p>
    <w:p>
      <w:pPr>
        <w:ind w:left="1100" w:hanging="710"/>
        <w:spacing w:after="0"/>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prepare to submit INDs and then initiate clinical development of product candidates, including SNS-VISTA, VSIG4 and SNS-401-NG.</w:t>
      </w:r>
    </w:p>
    <w:p>
      <w:pPr>
        <w:spacing w:after="0" w:line="128" w:lineRule="exact"/>
        <w:rPr>
          <w:rFonts w:ascii="Arial" w:cs="Arial" w:eastAsia="Arial" w:hAnsi="Arial"/>
          <w:sz w:val="17"/>
          <w:szCs w:val="17"/>
          <w:color w:val="auto"/>
        </w:rPr>
      </w:pPr>
    </w:p>
    <w:p>
      <w:pPr>
        <w:ind w:left="1100" w:hanging="710"/>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117" w:lineRule="exact"/>
        <w:rPr>
          <w:rFonts w:ascii="Arial" w:cs="Arial" w:eastAsia="Arial" w:hAnsi="Arial"/>
          <w:sz w:val="18"/>
          <w:szCs w:val="18"/>
          <w:color w:val="auto"/>
        </w:rPr>
      </w:pPr>
    </w:p>
    <w:p>
      <w:pPr>
        <w:ind w:left="1100" w:hanging="710"/>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 in our ImmunoPhage and TMAb platforms;</w:t>
      </w:r>
    </w:p>
    <w:p>
      <w:pPr>
        <w:spacing w:after="0" w:line="117" w:lineRule="exact"/>
        <w:rPr>
          <w:rFonts w:ascii="Arial" w:cs="Arial" w:eastAsia="Arial" w:hAnsi="Arial"/>
          <w:sz w:val="18"/>
          <w:szCs w:val="18"/>
          <w:color w:val="auto"/>
        </w:rPr>
      </w:pPr>
    </w:p>
    <w:p>
      <w:pPr>
        <w:ind w:left="1100" w:hanging="710"/>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or acquire or in-license drugs, product candidates or technologies;</w:t>
      </w:r>
    </w:p>
    <w:p>
      <w:pPr>
        <w:spacing w:after="0" w:line="117" w:lineRule="exact"/>
        <w:rPr>
          <w:rFonts w:ascii="Arial" w:cs="Arial" w:eastAsia="Arial" w:hAnsi="Arial"/>
          <w:sz w:val="18"/>
          <w:szCs w:val="18"/>
          <w:color w:val="auto"/>
        </w:rPr>
      </w:pPr>
    </w:p>
    <w:p>
      <w:pPr>
        <w:ind w:left="1100" w:hanging="710"/>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right="100" w:firstLine="390"/>
        <w:spacing w:after="0" w:line="277" w:lineRule="auto"/>
        <w:tabs>
          <w:tab w:leader="none" w:pos="1093" w:val="left"/>
        </w:tabs>
        <w:numPr>
          <w:ilvl w:val="0"/>
          <w:numId w:val="7"/>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manufacturing capabilities to commercialize any product candidates for which we may obtain regulatory approval;</w:t>
      </w:r>
    </w:p>
    <w:p>
      <w:pPr>
        <w:spacing w:after="0" w:line="62" w:lineRule="exact"/>
        <w:rPr>
          <w:rFonts w:ascii="Arial" w:cs="Arial" w:eastAsia="Arial" w:hAnsi="Arial"/>
          <w:sz w:val="18"/>
          <w:szCs w:val="18"/>
          <w:color w:val="auto"/>
        </w:rPr>
      </w:pPr>
    </w:p>
    <w:p>
      <w:pPr>
        <w:ind w:left="1100" w:hanging="710"/>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manufacture our product candidates or otherwise secure the clinical and commercial supply of our product candidates;</w:t>
      </w:r>
    </w:p>
    <w:p>
      <w:pPr>
        <w:spacing w:after="0" w:line="117" w:lineRule="exact"/>
        <w:rPr>
          <w:rFonts w:ascii="Arial" w:cs="Arial" w:eastAsia="Arial" w:hAnsi="Arial"/>
          <w:sz w:val="18"/>
          <w:szCs w:val="18"/>
          <w:color w:val="auto"/>
        </w:rPr>
      </w:pPr>
    </w:p>
    <w:p>
      <w:pPr>
        <w:ind w:left="1100" w:hanging="710"/>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additional research and development and selling, general and administrative personnel;</w:t>
      </w:r>
    </w:p>
    <w:p>
      <w:pPr>
        <w:spacing w:after="0" w:line="117" w:lineRule="exact"/>
        <w:rPr>
          <w:rFonts w:ascii="Arial" w:cs="Arial" w:eastAsia="Arial" w:hAnsi="Arial"/>
          <w:sz w:val="18"/>
          <w:szCs w:val="18"/>
          <w:color w:val="auto"/>
        </w:rPr>
      </w:pPr>
    </w:p>
    <w:p>
      <w:pPr>
        <w:ind w:left="1100" w:hanging="710"/>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117" w:lineRule="exact"/>
        <w:rPr>
          <w:rFonts w:ascii="Arial" w:cs="Arial" w:eastAsia="Arial" w:hAnsi="Arial"/>
          <w:sz w:val="18"/>
          <w:szCs w:val="18"/>
          <w:color w:val="auto"/>
        </w:rPr>
      </w:pPr>
    </w:p>
    <w:p>
      <w:pPr>
        <w:ind w:left="1100" w:hanging="710"/>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17" w:lineRule="exact"/>
        <w:rPr>
          <w:sz w:val="20"/>
          <w:szCs w:val="20"/>
          <w:color w:val="auto"/>
        </w:rPr>
      </w:pPr>
    </w:p>
    <w:p>
      <w:pPr>
        <w:ind w:right="280" w:firstLine="382"/>
        <w:spacing w:after="0" w:line="257" w:lineRule="auto"/>
        <w:rPr>
          <w:sz w:val="20"/>
          <w:szCs w:val="20"/>
          <w:color w:val="auto"/>
        </w:rPr>
      </w:pPr>
      <w:r>
        <w:rPr>
          <w:rFonts w:ascii="Arial" w:cs="Arial" w:eastAsia="Arial" w:hAnsi="Arial"/>
          <w:sz w:val="18"/>
          <w:szCs w:val="18"/>
          <w:color w:val="auto"/>
        </w:rPr>
        <w:t>Cash used to fund operating expenses is impacted by the timing of when we pay these expenses, as reflected in the change in our accounts payable and accrued expenses. We expect to continue to incur net losses and negative cash flows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product candidates, as well as hire additional personnel, pay fees to outside consultants, lawyers and accountants, and incur other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 w:name="page20"/>
    <w:bookmarkEnd w:id="19"/>
    <w:p>
      <w:pPr>
        <w:ind w:right="40"/>
        <w:spacing w:after="0" w:line="277" w:lineRule="auto"/>
        <w:rPr>
          <w:sz w:val="20"/>
          <w:szCs w:val="20"/>
          <w:color w:val="auto"/>
        </w:rPr>
      </w:pPr>
      <w:r>
        <w:rPr>
          <w:rFonts w:ascii="Arial" w:cs="Arial" w:eastAsia="Arial" w:hAnsi="Arial"/>
          <w:sz w:val="18"/>
          <w:szCs w:val="18"/>
          <w:color w:val="auto"/>
        </w:rPr>
        <w:t>increased costs associated with being a public company. In addition, if we seek and obtain regulatory approval to commercialize any product candidate, we will also incur increased expenses in connection with commercialization and marketing of any such product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Security Issuances</w:t>
      </w:r>
    </w:p>
    <w:p>
      <w:pPr>
        <w:spacing w:after="0" w:line="229" w:lineRule="exact"/>
        <w:rPr>
          <w:sz w:val="20"/>
          <w:szCs w:val="20"/>
          <w:color w:val="auto"/>
        </w:rPr>
      </w:pPr>
    </w:p>
    <w:p>
      <w:pPr>
        <w:ind w:right="140" w:firstLine="382"/>
        <w:spacing w:after="0" w:line="342" w:lineRule="auto"/>
        <w:rPr>
          <w:sz w:val="20"/>
          <w:szCs w:val="20"/>
          <w:color w:val="auto"/>
        </w:rPr>
      </w:pPr>
      <w:r>
        <w:rPr>
          <w:rFonts w:ascii="Arial" w:cs="Arial" w:eastAsia="Arial" w:hAnsi="Arial"/>
          <w:sz w:val="16"/>
          <w:szCs w:val="16"/>
          <w:color w:val="auto"/>
        </w:rPr>
        <w:t>From December 2020 through January 2021, we issued and sold 165,956,208 shares of our Series BB convertible preferred stock at a purchase price of $0.207383 per share for aggregate gross proceeds of $34.4 million, of which approximately $23.5 million was received in January 2021.</w:t>
      </w:r>
    </w:p>
    <w:p>
      <w:pPr>
        <w:spacing w:after="0" w:line="124" w:lineRule="exact"/>
        <w:rPr>
          <w:sz w:val="20"/>
          <w:szCs w:val="20"/>
          <w:color w:val="auto"/>
        </w:rPr>
      </w:pPr>
    </w:p>
    <w:p>
      <w:pPr>
        <w:ind w:right="60" w:firstLine="382"/>
        <w:spacing w:after="0" w:line="277" w:lineRule="auto"/>
        <w:rPr>
          <w:sz w:val="20"/>
          <w:szCs w:val="20"/>
          <w:color w:val="auto"/>
        </w:rPr>
      </w:pPr>
      <w:r>
        <w:rPr>
          <w:rFonts w:ascii="Arial" w:cs="Arial" w:eastAsia="Arial" w:hAnsi="Arial"/>
          <w:sz w:val="18"/>
          <w:szCs w:val="18"/>
          <w:color w:val="auto"/>
        </w:rPr>
        <w:t>In February 2021, we issued and sold an aggregate of 8,030,295 shares of our common stock at a price to the public of $19.00 per share for aggregate gross proceeds of $152.6 million in our initial public offering.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In March 2020, COVID-19 was declared a global pandemic by the World Health Organization and to date, the COVID-19 pandemic continues to present a substantial public health and economic challenge around the world. The length of time and full extent to which the COVID-19 pandemic will directly or indirectly impact our business, results of operations and financial condition will depend on future developments that are highly uncertain, subject to change and are difficult to predict. While we continue to conduct our research and development activities, the COVID-19 pandemic may cause disruptions that impact the timing of our planned and ongoing pre-clinical trials and affect our ability to complete preclinical studies, future clinical trials or to procure items that are essential for our research and development activities.</w:t>
      </w:r>
    </w:p>
    <w:p>
      <w:pPr>
        <w:spacing w:after="0" w:line="178"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In addition, a further recurrence of COVID-19 cases could cause other widespread or more severe impacts depending on where infection rates are highest. We plan to continue to closely monitor the ongoing impact of the COVID-19 pandemic on our employees and our business operations, as we deal with the disruptions and uncertainties relating to the COVID-19 pandemic. In an effort to provide a safe work environment for our employees, we have, among other things, implemented various social distancing measures in our office and labs including replacing in-person meetings with virtual interactions, and are working remotely when possible. We expect to continue to take actions as may be required or recommended by government authorities or as we determine are in the best interests of our employees and other business partners in light of the pandemic. To date, there has not been a significant impact on our product candidate development or on the rest of our pipeline; however we cannot at this time predict the specific extent, duration, or full impact that the COVID-19 pandemic could potentially have on our ongoing business plan, financial condition and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research and development expense consists of expenses incurred in connection with the discovery and development of our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expenses include:</w:t>
      </w:r>
    </w:p>
    <w:p>
      <w:pPr>
        <w:spacing w:after="0" w:line="103" w:lineRule="exact"/>
        <w:rPr>
          <w:sz w:val="20"/>
          <w:szCs w:val="20"/>
          <w:color w:val="auto"/>
        </w:rPr>
      </w:pPr>
    </w:p>
    <w:p>
      <w:pPr>
        <w:ind w:left="760" w:right="280" w:hanging="374"/>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incurred under agreements with CROs, as well as investigative sites and consultants that conduct our preclinical studies and clinical trials;</w:t>
      </w:r>
    </w:p>
    <w:p>
      <w:pPr>
        <w:spacing w:after="0" w:line="62" w:lineRule="exact"/>
        <w:rPr>
          <w:rFonts w:ascii="Arial" w:cs="Arial" w:eastAsia="Arial" w:hAnsi="Arial"/>
          <w:sz w:val="18"/>
          <w:szCs w:val="18"/>
          <w:color w:val="auto"/>
        </w:rPr>
      </w:pPr>
    </w:p>
    <w:p>
      <w:pPr>
        <w:ind w:left="760" w:hanging="374"/>
        <w:spacing w:after="0" w:line="308"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cost of manufacturing our product candidates including the potential cost of CMOs that manufacture product for use in our preclinical studies and clinical trials and perform analytical testing, scale-up and other services in connection with our development activities;</w:t>
      </w:r>
    </w:p>
    <w:p>
      <w:pPr>
        <w:spacing w:after="0" w:line="38" w:lineRule="exact"/>
        <w:rPr>
          <w:rFonts w:ascii="Arial" w:cs="Arial" w:eastAsia="Arial" w:hAnsi="Arial"/>
          <w:sz w:val="17"/>
          <w:szCs w:val="17"/>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outsourced professional scientific development services;</w:t>
      </w:r>
    </w:p>
    <w:p>
      <w:pPr>
        <w:spacing w:after="0" w:line="117" w:lineRule="exact"/>
        <w:rPr>
          <w:rFonts w:ascii="Arial" w:cs="Arial" w:eastAsia="Arial" w:hAnsi="Arial"/>
          <w:sz w:val="18"/>
          <w:szCs w:val="18"/>
          <w:color w:val="auto"/>
        </w:rPr>
      </w:pPr>
    </w:p>
    <w:p>
      <w:pPr>
        <w:ind w:left="760" w:right="160" w:hanging="374"/>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for employees engaged in the research and development function;</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relating to regulatory activities, including filing fees paid to regulatory agencies;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for maintaining licenses and other amounts due under our third party licensing agreements;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laboratory materials and supplies used to support our research activities; and</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facility-related costs.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ind w:right="100" w:firstLine="382"/>
        <w:spacing w:after="0" w:line="263" w:lineRule="auto"/>
        <w:rPr>
          <w:sz w:val="20"/>
          <w:szCs w:val="20"/>
          <w:color w:val="auto"/>
        </w:rPr>
      </w:pPr>
      <w:r>
        <w:rPr>
          <w:rFonts w:ascii="Arial" w:cs="Arial" w:eastAsia="Arial" w:hAnsi="Arial"/>
          <w:sz w:val="18"/>
          <w:szCs w:val="18"/>
          <w:color w:val="auto"/>
        </w:rPr>
        <w:t>We expense all research and development costs in the periods in which they are incurred. Costs for certain research and development activities are recognized based on an evaluation of the progress to completion of specific tasks using information and data provided to us by our vendors and third-party service providers.</w:t>
      </w:r>
    </w:p>
    <w:p>
      <w:pPr>
        <w:spacing w:after="0" w:line="184" w:lineRule="exact"/>
        <w:rPr>
          <w:sz w:val="20"/>
          <w:szCs w:val="20"/>
          <w:color w:val="auto"/>
        </w:rPr>
      </w:pPr>
    </w:p>
    <w:p>
      <w:pPr>
        <w:ind w:right="60" w:firstLine="382"/>
        <w:spacing w:after="0" w:line="269" w:lineRule="auto"/>
        <w:rPr>
          <w:sz w:val="20"/>
          <w:szCs w:val="20"/>
          <w:color w:val="auto"/>
        </w:rPr>
      </w:pPr>
      <w:r>
        <w:rPr>
          <w:rFonts w:ascii="Arial" w:cs="Arial" w:eastAsia="Arial" w:hAnsi="Arial"/>
          <w:sz w:val="17"/>
          <w:szCs w:val="17"/>
          <w:color w:val="auto"/>
        </w:rPr>
        <w:t>Our direct external research and development expenses consist primarily of external costs, such as fees paid to CROs, CMOs, research/testing laboratories and outside consultants in connection with our preclinical development, process development, manufacturing and clinical development activities. We do not allocate these costs to specific product candidates because many of them are deployed across several of our development programs and, as such, are not separately classified. We use internal resources primarily to conduct research and manage our preclinical development, outsourced clinical trials, process development, manufacturing and clinical development activities. These employees work across multiple development programs and, therefore, we do not track their costs by program and, as such, are not separately classified. 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preclinical studies and clinical trials, and prepare regulatory filings for our product candidates.</w:t>
      </w:r>
    </w:p>
    <w:p>
      <w:pPr>
        <w:spacing w:after="0" w:line="185" w:lineRule="exact"/>
        <w:rPr>
          <w:sz w:val="20"/>
          <w:szCs w:val="20"/>
          <w:color w:val="auto"/>
        </w:rPr>
      </w:pPr>
    </w:p>
    <w:p>
      <w:pPr>
        <w:ind w:right="60" w:firstLine="382"/>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any of our other product candidates. This uncertainty is due to the numerous risks and uncertainties associated with the duration and cost of clinical trials, which vary significantly over the life of a project as a result of many factors, including:</w:t>
      </w:r>
    </w:p>
    <w:p>
      <w:pPr>
        <w:spacing w:after="0" w:line="79" w:lineRule="exact"/>
        <w:rPr>
          <w:sz w:val="20"/>
          <w:szCs w:val="20"/>
          <w:color w:val="auto"/>
        </w:rPr>
      </w:pPr>
    </w:p>
    <w:p>
      <w:pPr>
        <w:ind w:left="760" w:right="540" w:hanging="374"/>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progress, outcome and costs of our preclinical studies, our current product candidates and any other product candidates we may acquire or develop;</w:t>
      </w:r>
    </w:p>
    <w:p>
      <w:pPr>
        <w:spacing w:after="0" w:line="62" w:lineRule="exact"/>
        <w:rPr>
          <w:rFonts w:ascii="Arial" w:cs="Arial" w:eastAsia="Arial" w:hAnsi="Arial"/>
          <w:sz w:val="18"/>
          <w:szCs w:val="18"/>
          <w:color w:val="auto"/>
        </w:rPr>
      </w:pPr>
    </w:p>
    <w:p>
      <w:pPr>
        <w:ind w:left="760" w:right="440" w:hanging="374"/>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of our product candidates or making arrangements with potential third-party manufacturers for both clinical and commercial supplies of these product candidates;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duration and completion of clinical trials;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cost of gaining regulatory approvals for our product candidates, subject to the successful outcome of ongoing and future clinical trials; and</w:t>
      </w:r>
    </w:p>
    <w:p>
      <w:pPr>
        <w:spacing w:after="0" w:line="140" w:lineRule="exact"/>
        <w:rPr>
          <w:rFonts w:ascii="Arial" w:cs="Arial" w:eastAsia="Arial" w:hAnsi="Arial"/>
          <w:sz w:val="16"/>
          <w:szCs w:val="16"/>
          <w:color w:val="auto"/>
        </w:rPr>
      </w:pPr>
    </w:p>
    <w:p>
      <w:pPr>
        <w:ind w:left="760" w:hanging="37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25"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any of our product candidates. We may obtain unexpected results from our clinical trials. We may elect to discontinue, delay or modify clinical trials of some product candidates or focus on others.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several years and significant additional development costs.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w:t>
      </w:r>
    </w:p>
    <w:p>
      <w:pPr>
        <w:spacing w:after="0" w:line="117" w:lineRule="exact"/>
        <w:rPr>
          <w:sz w:val="20"/>
          <w:szCs w:val="20"/>
          <w:color w:val="auto"/>
        </w:rPr>
      </w:pPr>
    </w:p>
    <w:p>
      <w:pPr>
        <w:ind w:right="100" w:firstLine="382"/>
        <w:spacing w:after="0" w:line="286" w:lineRule="auto"/>
        <w:rPr>
          <w:sz w:val="20"/>
          <w:szCs w:val="20"/>
          <w:color w:val="auto"/>
        </w:rPr>
      </w:pPr>
      <w:r>
        <w:rPr>
          <w:rFonts w:ascii="Arial" w:cs="Arial" w:eastAsia="Arial" w:hAnsi="Arial"/>
          <w:sz w:val="17"/>
          <w:szCs w:val="17"/>
          <w:color w:val="auto"/>
        </w:rPr>
        <w:t>General and administrative expenses consist principally of salaries and related costs for personnel in executive, administrative, finance and legal functions, including stock-based compensation, travel expenses and recruiting expenses. Other general and administrative expenses include facility related costs, patent filing and prosecution costs and professional fees for legal, auditing and tax services, and insurance costs.</w:t>
      </w:r>
    </w:p>
    <w:p>
      <w:pPr>
        <w:spacing w:after="0" w:line="165" w:lineRule="exact"/>
        <w:rPr>
          <w:sz w:val="20"/>
          <w:szCs w:val="20"/>
          <w:color w:val="auto"/>
        </w:rPr>
      </w:pPr>
    </w:p>
    <w:p>
      <w:pPr>
        <w:ind w:right="460" w:firstLine="382"/>
        <w:spacing w:after="0" w:line="286" w:lineRule="auto"/>
        <w:rPr>
          <w:sz w:val="20"/>
          <w:szCs w:val="20"/>
          <w:color w:val="auto"/>
        </w:rPr>
      </w:pPr>
      <w:r>
        <w:rPr>
          <w:rFonts w:ascii="Arial" w:cs="Arial" w:eastAsia="Arial" w:hAnsi="Arial"/>
          <w:sz w:val="17"/>
          <w:szCs w:val="17"/>
          <w:color w:val="auto"/>
        </w:rPr>
        <w:t>We anticipate that our general and administrative expenses will increase as a result of increased payroll, expanded infrastructure and higher consulting, legal and tax-related services associated with maintaining compliance with Nasdaq listing and SEC requirements, accounting and investor relations costs, and director and officer insurance premiums associated with being a public company.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1" w:name="page22"/>
    <w:bookmarkEnd w:id="21"/>
    <w:p>
      <w:pPr>
        <w:ind w:left="200"/>
        <w:spacing w:after="0"/>
        <w:rPr>
          <w:sz w:val="20"/>
          <w:szCs w:val="20"/>
          <w:color w:val="auto"/>
        </w:rPr>
      </w:pPr>
      <w:r>
        <w:rPr>
          <w:rFonts w:ascii="Arial" w:cs="Arial" w:eastAsia="Arial" w:hAnsi="Arial"/>
          <w:sz w:val="18"/>
          <w:szCs w:val="18"/>
          <w:i w:val="1"/>
          <w:iCs w:val="1"/>
          <w:color w:val="auto"/>
        </w:rPr>
        <w:t>Alvaxa IPR&amp;D</w:t>
      </w:r>
    </w:p>
    <w:p>
      <w:pPr>
        <w:spacing w:after="0" w:line="117" w:lineRule="exact"/>
        <w:rPr>
          <w:sz w:val="20"/>
          <w:szCs w:val="20"/>
          <w:color w:val="auto"/>
        </w:rPr>
      </w:pPr>
    </w:p>
    <w:p>
      <w:pPr>
        <w:ind w:right="80" w:firstLine="382"/>
        <w:spacing w:after="0" w:line="255" w:lineRule="auto"/>
        <w:rPr>
          <w:sz w:val="20"/>
          <w:szCs w:val="20"/>
          <w:color w:val="auto"/>
        </w:rPr>
      </w:pPr>
      <w:r>
        <w:rPr>
          <w:rFonts w:ascii="Arial" w:cs="Arial" w:eastAsia="Arial" w:hAnsi="Arial"/>
          <w:sz w:val="18"/>
          <w:szCs w:val="18"/>
          <w:color w:val="auto"/>
        </w:rPr>
        <w:t>On May 18, 2020, we acquired Alvaxa Biosciences, or Alvaxa, in a cash and stock purchase pursuant to a Stock Purchase Agreement. Under the terms of the Stock Purchase Agreement, we acquired Alvaxa’s existing camelid nanobodies and other biomaterials, or the Biomaterials, expertise in nanobody discovery, as well as a license agreement with a research organization. The former majority shareholder of Alvaxa is our current Chief Scientific Officer. Under the Stock Purchase Agreement, we paid $197 thousand to settle liabilities assumed from Alvaxa and issued 304,376 shares of our common stock to the shareholders of Alvaxa. We have evaluated the acquisition under ASC 805, Business Combinations and determined this to be an asset acquisition.</w:t>
      </w:r>
    </w:p>
    <w:p>
      <w:pPr>
        <w:spacing w:after="0" w:line="84" w:lineRule="exact"/>
        <w:rPr>
          <w:sz w:val="20"/>
          <w:szCs w:val="20"/>
          <w:color w:val="auto"/>
        </w:rPr>
      </w:pPr>
    </w:p>
    <w:p>
      <w:pPr>
        <w:ind w:right="80" w:firstLine="382"/>
        <w:spacing w:after="0" w:line="257" w:lineRule="auto"/>
        <w:rPr>
          <w:sz w:val="20"/>
          <w:szCs w:val="20"/>
          <w:color w:val="auto"/>
        </w:rPr>
      </w:pPr>
      <w:r>
        <w:rPr>
          <w:rFonts w:ascii="Arial" w:cs="Arial" w:eastAsia="Arial" w:hAnsi="Arial"/>
          <w:sz w:val="18"/>
          <w:szCs w:val="18"/>
          <w:color w:val="auto"/>
        </w:rPr>
        <w:t>The 304,376 shares of common stock was valued at $1.78 per share, or $541 thousand in total, based on a valuation determined with the assistance of a third party. We determined that substantially all the value acquired in the transaction related to the Biomaterials and represents in-process research and development, or IPR&amp;D. The liabilities of $197 thousand assumed were related to previously incurred employee costs as well as contractually required vendor payments. The consideration transferred in this transaction was recorded as an expense in the IPR&amp;D line item within our Statement of Operations during the six months ended June 30, 2020.</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right="280" w:firstLine="382"/>
        <w:spacing w:after="0" w:line="342" w:lineRule="auto"/>
        <w:rPr>
          <w:sz w:val="20"/>
          <w:szCs w:val="20"/>
          <w:color w:val="auto"/>
        </w:rPr>
      </w:pPr>
      <w:r>
        <w:rPr>
          <w:rFonts w:ascii="Arial" w:cs="Arial" w:eastAsia="Arial" w:hAnsi="Arial"/>
          <w:sz w:val="16"/>
          <w:szCs w:val="16"/>
          <w:color w:val="auto"/>
        </w:rPr>
        <w:t>Our other income (expense) consists of changes in the fair value of our derivative liability related to an embedded derivative on certain convertible debt, realized gain or loss on short-term investments, gain on debt extinguishments, accretion expense on short-term investments and interest expense.</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firstLine="382"/>
        <w:spacing w:after="0" w:line="263" w:lineRule="auto"/>
        <w:rPr>
          <w:sz w:val="20"/>
          <w:szCs w:val="20"/>
          <w:color w:val="auto"/>
        </w:rPr>
      </w:pPr>
      <w:r>
        <w:rPr>
          <w:rFonts w:ascii="Arial" w:cs="Arial" w:eastAsia="Arial" w:hAnsi="Arial"/>
          <w:sz w:val="18"/>
          <w:szCs w:val="18"/>
          <w:color w:val="auto"/>
        </w:rPr>
        <w:t>Since our inception, we have not recorded any income tax benefits for the net losses we have incurred or for the research and development tax credits earned in each year, as we believe, based upon the weight of available evidence, that it is more likely than not that all of our net operating loss carryforwards and tax credit carryforwards will not be realized.</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sets forth our results of operations for the three months ended June 30, 2021 and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w w:val="93"/>
              </w:rPr>
              <w:t>Three Months Ended 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640" w:type="dxa"/>
            <w:vAlign w:val="bottom"/>
            <w:gridSpan w:val="2"/>
            <w:vMerge w:val="continue"/>
          </w:tcPr>
          <w:p>
            <w:pPr>
              <w:spacing w:after="0"/>
              <w:rPr>
                <w:sz w:val="13"/>
                <w:szCs w:val="13"/>
                <w:color w:val="auto"/>
              </w:rPr>
            </w:pPr>
          </w:p>
        </w:tc>
        <w:tc>
          <w:tcPr>
            <w:tcW w:w="820" w:type="dxa"/>
            <w:vAlign w:val="bottom"/>
          </w:tcPr>
          <w:p>
            <w:pPr>
              <w:ind w:left="520"/>
              <w:spacing w:after="0" w:line="155" w:lineRule="exact"/>
              <w:rPr>
                <w:sz w:val="20"/>
                <w:szCs w:val="20"/>
                <w:color w:val="auto"/>
              </w:rPr>
            </w:pPr>
            <w:r>
              <w:rPr>
                <w:rFonts w:ascii="Arial" w:cs="Arial" w:eastAsia="Arial" w:hAnsi="Arial"/>
                <w:sz w:val="14"/>
                <w:szCs w:val="14"/>
                <w:b w:val="1"/>
                <w:bCs w:val="1"/>
                <w:color w:val="auto"/>
                <w:w w:val="89"/>
              </w:rPr>
              <w:t>2021</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5,898</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gridSpan w:val="2"/>
          </w:tcPr>
          <w:p>
            <w:pPr>
              <w:ind w:left="260"/>
              <w:spacing w:after="0"/>
              <w:rPr>
                <w:sz w:val="20"/>
                <w:szCs w:val="20"/>
                <w:color w:val="auto"/>
              </w:rPr>
            </w:pPr>
            <w:r>
              <w:rPr>
                <w:rFonts w:ascii="Arial" w:cs="Arial" w:eastAsia="Arial" w:hAnsi="Arial"/>
                <w:sz w:val="18"/>
                <w:szCs w:val="18"/>
                <w:color w:val="auto"/>
              </w:rPr>
              <w:t>Alvaxa IPR&amp;D</w:t>
            </w:r>
          </w:p>
        </w:tc>
        <w:tc>
          <w:tcPr>
            <w:tcW w:w="82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9,784</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4,907</w:t>
            </w: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4,877</w:t>
            </w:r>
          </w:p>
        </w:tc>
        <w:tc>
          <w:tcPr>
            <w:tcW w:w="1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(9,784)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(4,907)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(9,771)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(4,910)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80" w:firstLine="382"/>
        <w:spacing w:after="0" w:line="279" w:lineRule="auto"/>
        <w:rPr>
          <w:sz w:val="20"/>
          <w:szCs w:val="20"/>
          <w:color w:val="auto"/>
        </w:rPr>
      </w:pPr>
      <w:r>
        <w:rPr>
          <w:rFonts w:ascii="Arial" w:cs="Arial" w:eastAsia="Arial" w:hAnsi="Arial"/>
          <w:sz w:val="18"/>
          <w:szCs w:val="18"/>
          <w:color w:val="auto"/>
        </w:rPr>
        <w:t>Research and development expenses were $5.9 million for the three months ended June 30, 2021, compared to 2.9 million for the three months ended June 30, 2020. The increase of $3.0 million was primarily attributable to increased headcount to support our research, development, and manufacturing activities as well as increased consulting related to our ImmunoPhage platform.</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40" w:firstLine="382"/>
        <w:spacing w:after="0" w:line="263" w:lineRule="auto"/>
        <w:rPr>
          <w:sz w:val="20"/>
          <w:szCs w:val="20"/>
          <w:color w:val="auto"/>
        </w:rPr>
      </w:pPr>
      <w:r>
        <w:rPr>
          <w:rFonts w:ascii="Arial" w:cs="Arial" w:eastAsia="Arial" w:hAnsi="Arial"/>
          <w:sz w:val="18"/>
          <w:szCs w:val="18"/>
          <w:color w:val="auto"/>
        </w:rPr>
        <w:t>General and administrative expenses were $3.9 million for the three months ended June 30, 2021, compared to $1.3 million for the three months ended June 30, 2020. The increase of $2.6 million was primarily attributable to increased personnel costs, including stock-based compensation, to support our business, as well as increased professional service fees and directors and officers insurance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ind w:left="20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sets forth our results of operations for the six months ended June 30, 2021 and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5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9,263</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5,053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8,490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3,219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5,271</w:t>
            </w:r>
          </w:p>
        </w:tc>
        <w:tc>
          <w:tcPr>
            <w:tcW w:w="10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260"/>
              <w:spacing w:after="0"/>
              <w:rPr>
                <w:sz w:val="20"/>
                <w:szCs w:val="20"/>
                <w:color w:val="auto"/>
              </w:rPr>
            </w:pPr>
            <w:r>
              <w:rPr>
                <w:rFonts w:ascii="Arial" w:cs="Arial" w:eastAsia="Arial" w:hAnsi="Arial"/>
                <w:sz w:val="18"/>
                <w:szCs w:val="18"/>
                <w:color w:val="auto"/>
              </w:rPr>
              <w:t>Alvaxa IPR&amp;D</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17,753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9,010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8,743</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(8,743)</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(17,743)</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(9,602)</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(8,141)</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right="300" w:firstLine="382"/>
        <w:spacing w:after="0" w:line="279" w:lineRule="auto"/>
        <w:rPr>
          <w:sz w:val="20"/>
          <w:szCs w:val="20"/>
          <w:color w:val="auto"/>
        </w:rPr>
      </w:pPr>
      <w:r>
        <w:rPr>
          <w:rFonts w:ascii="Arial" w:cs="Arial" w:eastAsia="Arial" w:hAnsi="Arial"/>
          <w:sz w:val="18"/>
          <w:szCs w:val="18"/>
          <w:color w:val="auto"/>
        </w:rPr>
        <w:t>Research and development expenses were $9.3 million for the six months ended June 30, 2021, compared to $5.1 million for the six months ended June 30, 2020. The increase of $4.2 million was primarily attributable to increased headcount to support our research, development, and manufacturing activities as well as increased consulting related to our product and candidate selection process.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280" w:firstLine="382"/>
        <w:spacing w:after="0" w:line="263" w:lineRule="auto"/>
        <w:rPr>
          <w:sz w:val="20"/>
          <w:szCs w:val="20"/>
          <w:color w:val="auto"/>
        </w:rPr>
      </w:pPr>
      <w:r>
        <w:rPr>
          <w:rFonts w:ascii="Arial" w:cs="Arial" w:eastAsia="Arial" w:hAnsi="Arial"/>
          <w:sz w:val="18"/>
          <w:szCs w:val="18"/>
          <w:color w:val="auto"/>
        </w:rPr>
        <w:t>General and administrative expenses were $8.5 million for the six months ended June 30, 2021, compared to $3.2 million for the six months ended June 30, 2020. The increase of $5.3 million was primarily attributable to increased personnel costs, including stock-based compensation, to support our business, as well as increased professional service fees and directors and officers insurance costs.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right="20" w:firstLine="382"/>
        <w:spacing w:after="0" w:line="263" w:lineRule="auto"/>
        <w:rPr>
          <w:sz w:val="20"/>
          <w:szCs w:val="20"/>
          <w:color w:val="auto"/>
        </w:rPr>
      </w:pPr>
      <w:r>
        <w:rPr>
          <w:rFonts w:ascii="Arial" w:cs="Arial" w:eastAsia="Arial" w:hAnsi="Arial"/>
          <w:sz w:val="18"/>
          <w:szCs w:val="18"/>
          <w:color w:val="auto"/>
        </w:rPr>
        <w:t>Other income increased by $0.6 million in the six months ended June 30, 2021 compared to the six months ended June 30, 2020, which was primarily attributable to fair value adjustments of embedded derivative liabilities associated with certain convertible debt, as well as lower interest expense on debt due to the redemption of convertible debt in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Sources of Liquidity</w:t>
      </w:r>
    </w:p>
    <w:p>
      <w:pPr>
        <w:spacing w:after="0" w:line="117" w:lineRule="exact"/>
        <w:rPr>
          <w:sz w:val="20"/>
          <w:szCs w:val="20"/>
          <w:color w:val="auto"/>
        </w:rPr>
      </w:pPr>
    </w:p>
    <w:p>
      <w:pPr>
        <w:ind w:right="320" w:firstLine="382"/>
        <w:spacing w:after="0" w:line="293" w:lineRule="auto"/>
        <w:rPr>
          <w:sz w:val="20"/>
          <w:szCs w:val="20"/>
          <w:color w:val="auto"/>
        </w:rPr>
      </w:pPr>
      <w:r>
        <w:rPr>
          <w:rFonts w:ascii="Arial" w:cs="Arial" w:eastAsia="Arial" w:hAnsi="Arial"/>
          <w:sz w:val="16"/>
          <w:szCs w:val="16"/>
          <w:color w:val="auto"/>
        </w:rPr>
        <w:t>We have not generated any product revenue and have incurred net losses and negative cash flows from our operations. We have financed our operations through sales of our common stock, convertible preferred stock and convertible debt. Through the date of this report, we have raised an aggregate of $123.4 million of gross proceeds from private placements of our equity and convertible debt securities and net proceeds of $138.5 million from our initial public offering, or IPO, in February 2021. Our net loss was $17.7 million and $9.6 million for the six months ended June 30, 2021 and 2020, respectively. As of June 30, 2021, we had an accumulated deficit of $130.2 million. Our primary use of cash is to fund operating expenses, which consist primarily of research and development expenditures, and to a lesser extent, general and administrative expenditures.</w:t>
      </w:r>
    </w:p>
    <w:p>
      <w:pPr>
        <w:spacing w:after="0" w:line="164" w:lineRule="exact"/>
        <w:rPr>
          <w:sz w:val="20"/>
          <w:szCs w:val="20"/>
          <w:color w:val="auto"/>
        </w:rPr>
      </w:pPr>
    </w:p>
    <w:p>
      <w:pPr>
        <w:ind w:right="80" w:firstLine="382"/>
        <w:spacing w:after="0" w:line="273" w:lineRule="auto"/>
        <w:rPr>
          <w:sz w:val="20"/>
          <w:szCs w:val="20"/>
          <w:color w:val="auto"/>
        </w:rPr>
      </w:pPr>
      <w:r>
        <w:rPr>
          <w:rFonts w:ascii="Arial" w:cs="Arial" w:eastAsia="Arial" w:hAnsi="Arial"/>
          <w:sz w:val="17"/>
          <w:szCs w:val="17"/>
          <w:color w:val="auto"/>
        </w:rPr>
        <w:t>As of June 30, 2021, we had cash,cash equivalents and marketable securities of $162.5 million. From December 2020 to January 2021, we issued and sold 165,956,208 shares of Series BB convertible preferred stock to a group of investors, in exchange for $34.4 million of new gross proceeds, of which approximately $23.5 million was received in January 2021. In February 2021, we issued an aggregate of 8,030,295 shares of common stock in our initial public offering at a price to the public of $19.00 per share, for aggregate gross proceeds of $152.6 million. We paid underwriting discounts and commissions of $10.7 million, and we also incurred expenses of $3.4 million in connection with the offering. As a result, the net offering proceeds to us, after deducting underwriting discounts and commissions and offering expenses, were $138.5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sources and uses of cash for each of the periods below:</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5"/>
          </w:tcPr>
          <w:p>
            <w:pPr>
              <w:jc w:val="right"/>
              <w:ind w:right="87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76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(9,227)</w:t>
            </w: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(148,248)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164,065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11,113</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0" w:firstLine="382"/>
        <w:spacing w:after="0" w:line="311" w:lineRule="auto"/>
        <w:rPr>
          <w:sz w:val="20"/>
          <w:szCs w:val="20"/>
          <w:color w:val="auto"/>
        </w:rPr>
      </w:pPr>
      <w:r>
        <w:rPr>
          <w:rFonts w:ascii="Arial" w:cs="Arial" w:eastAsia="Arial" w:hAnsi="Arial"/>
          <w:sz w:val="16"/>
          <w:szCs w:val="16"/>
          <w:color w:val="auto"/>
        </w:rPr>
        <w:t>During the six months ended June 30, 2021, our operating activities used $16.8 million of cash, primarily resulting from our net loss. During the six months ended June 30, 2020, our operating activities used $9.2 million of cash, primarily resulting from our net loss. The increase in net cash used in operating activities for the six months ended June 30, 2021 as compared to the six months ended June 30, 2020 is attributed to the increase in net loss.</w:t>
      </w:r>
    </w:p>
    <w:p>
      <w:pPr>
        <w:spacing w:after="0" w:line="25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20" w:firstLine="382"/>
        <w:spacing w:after="0" w:line="263" w:lineRule="auto"/>
        <w:rPr>
          <w:sz w:val="20"/>
          <w:szCs w:val="20"/>
          <w:color w:val="auto"/>
        </w:rPr>
      </w:pPr>
      <w:r>
        <w:rPr>
          <w:rFonts w:ascii="Arial" w:cs="Arial" w:eastAsia="Arial" w:hAnsi="Arial"/>
          <w:sz w:val="18"/>
          <w:szCs w:val="18"/>
          <w:color w:val="auto"/>
        </w:rPr>
        <w:t>During the six months ended June 30, 2021 and 2020, our net cash used in investing activities was $148.2 million and $0.1 million, respectively. The $148.1 increase was primarily a result of investing our net proceeds from our initial public offering and Series AA and Series BB convertible preferred stock financings in short-term marketable securities.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During the six months ended June 30, 2021, net cash provided by financing activities was $164.1 million, primarily from the net proceeds from the issuance of common stock as part of our initial public offering, as well as proceeds from the issuance of Series BB convertible preferred stock prior to the initial public offering. During the six months ended June 30, 2020, net cash provided by financing activities was $11.1 million primarily from the issuance of Series AA convertible preferred stock.</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right="120" w:firstLine="382"/>
        <w:spacing w:after="0" w:line="279"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continue or initiate clinical trials of, and potentially seek marketing approval for, our product candidates. In addition, we expect to incur significant costs associated with operating as a newly public company, including significant legal, accounting, investor relations and other expenses that we did not incur as a private company. The timing and amount of our operating expenditures will depend largely on:</w:t>
      </w:r>
    </w:p>
    <w:p>
      <w:pPr>
        <w:spacing w:after="0" w:line="63" w:lineRule="exact"/>
        <w:rPr>
          <w:sz w:val="20"/>
          <w:szCs w:val="20"/>
          <w:color w:val="auto"/>
        </w:rPr>
      </w:pPr>
    </w:p>
    <w:p>
      <w:pPr>
        <w:ind w:left="760" w:right="40" w:hanging="374"/>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current and future preclinical studies and clinical trials for SNS-401-NG and SNS-VISTA and our other product candidates;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cost and timing of the manufacture of additional clinical trial material as well as any costs related to the scale-up of manufacturing activities;</w:t>
      </w:r>
    </w:p>
    <w:p>
      <w:pPr>
        <w:spacing w:after="0" w:line="140" w:lineRule="exact"/>
        <w:rPr>
          <w:rFonts w:ascii="Arial" w:cs="Arial" w:eastAsia="Arial" w:hAnsi="Arial"/>
          <w:sz w:val="16"/>
          <w:szCs w:val="16"/>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to 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760" w:right="60" w:hanging="374"/>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or any third-party service providers on whom we rely experience delays or interruptions to preclinical studies and clinical trials, or to our supply chain due to the COVID-19 pandemic;</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need to hire additional clinical, quality assurance, quality control and other scientific personnel;</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 or may in-license;</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timing and cost of meeting and maintaining compliance with regulatory requirements;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117" w:lineRule="exact"/>
        <w:rPr>
          <w:rFonts w:ascii="Arial" w:cs="Arial" w:eastAsia="Arial" w:hAnsi="Arial"/>
          <w:sz w:val="18"/>
          <w:szCs w:val="18"/>
          <w:color w:val="auto"/>
        </w:rPr>
      </w:pPr>
    </w:p>
    <w:p>
      <w:pPr>
        <w:ind w:left="760" w:right="740" w:hanging="374"/>
        <w:spacing w:after="0" w:line="308"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terms of any collaboration agreements we may choose to enter into, including the achievement of milestones or occurrence of other developments that trigger payments under any license or collaboration agreements we might have at such time;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ind w:left="760" w:right="320" w:hanging="374"/>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associated with the expansion of our operational, financial and management systems and increased personnel, including personnel to support our operations as a public company; and</w:t>
      </w:r>
    </w:p>
    <w:p>
      <w:pPr>
        <w:spacing w:after="0" w:line="62" w:lineRule="exact"/>
        <w:rPr>
          <w:rFonts w:ascii="Arial" w:cs="Arial" w:eastAsia="Arial" w:hAnsi="Arial"/>
          <w:sz w:val="18"/>
          <w:szCs w:val="18"/>
          <w:color w:val="auto"/>
        </w:rPr>
      </w:pPr>
    </w:p>
    <w:p>
      <w:pPr>
        <w:ind w:left="760" w:right="40" w:hanging="374"/>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if approved, on our own.</w:t>
      </w:r>
    </w:p>
    <w:p>
      <w:pPr>
        <w:spacing w:after="0" w:line="170" w:lineRule="exact"/>
        <w:rPr>
          <w:sz w:val="20"/>
          <w:szCs w:val="20"/>
          <w:color w:val="auto"/>
        </w:rPr>
      </w:pPr>
    </w:p>
    <w:p>
      <w:pPr>
        <w:jc w:val="both"/>
        <w:ind w:right="100" w:firstLine="382"/>
        <w:spacing w:after="0" w:line="263" w:lineRule="auto"/>
        <w:rPr>
          <w:sz w:val="20"/>
          <w:szCs w:val="20"/>
          <w:color w:val="auto"/>
        </w:rPr>
      </w:pPr>
      <w:r>
        <w:rPr>
          <w:rFonts w:ascii="Arial" w:cs="Arial" w:eastAsia="Arial" w:hAnsi="Arial"/>
          <w:sz w:val="18"/>
          <w:szCs w:val="18"/>
          <w:color w:val="auto"/>
        </w:rPr>
        <w:t>We expect our existing cash and cash equivalents will enable us to fund our operating expenses and capital expenditure requirements at least into the first half of 2024. We have based this estimate on assumptions that may prove to be wrong, and we may use our available capital resources sooner than we currently expect. Our future capital requirements will depend on many factors, including:</w:t>
      </w:r>
    </w:p>
    <w:p>
      <w:pPr>
        <w:spacing w:after="0" w:line="76" w:lineRule="exact"/>
        <w:rPr>
          <w:sz w:val="20"/>
          <w:szCs w:val="20"/>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studies and clinical trials;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clinical trial costs under collaboration agreements, if any;</w:t>
      </w:r>
    </w:p>
    <w:p>
      <w:pPr>
        <w:spacing w:after="0" w:line="128" w:lineRule="exact"/>
        <w:rPr>
          <w:rFonts w:ascii="Arial" w:cs="Arial" w:eastAsia="Arial" w:hAnsi="Arial"/>
          <w:sz w:val="17"/>
          <w:szCs w:val="17"/>
          <w:color w:val="auto"/>
        </w:rPr>
      </w:pPr>
    </w:p>
    <w:p>
      <w:pPr>
        <w:ind w:left="760" w:right="560" w:hanging="374"/>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7"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commercial production;</w:t>
      </w:r>
    </w:p>
    <w:p>
      <w:pPr>
        <w:spacing w:after="0" w:line="117" w:lineRule="exact"/>
        <w:rPr>
          <w:rFonts w:ascii="Arial" w:cs="Arial" w:eastAsia="Arial" w:hAnsi="Arial"/>
          <w:sz w:val="18"/>
          <w:szCs w:val="18"/>
          <w:color w:val="auto"/>
        </w:rPr>
      </w:pPr>
    </w:p>
    <w:p>
      <w:pPr>
        <w:ind w:left="760" w:right="220" w:hanging="374"/>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approvals to market our product candidates; and</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COVID-19 pandemic and the corresponding responses of businesses and governments.</w:t>
      </w:r>
    </w:p>
    <w:p>
      <w:pPr>
        <w:spacing w:after="0" w:line="225" w:lineRule="exact"/>
        <w:rPr>
          <w:sz w:val="20"/>
          <w:szCs w:val="20"/>
          <w:color w:val="auto"/>
        </w:rPr>
      </w:pPr>
    </w:p>
    <w:p>
      <w:pPr>
        <w:ind w:right="180" w:firstLine="382"/>
        <w:spacing w:after="0" w:line="254" w:lineRule="auto"/>
        <w:rPr>
          <w:sz w:val="20"/>
          <w:szCs w:val="20"/>
          <w:color w:val="auto"/>
        </w:rPr>
      </w:pPr>
      <w:r>
        <w:rPr>
          <w:rFonts w:ascii="Arial" w:cs="Arial" w:eastAsia="Arial" w:hAnsi="Arial"/>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limiting or restricting our ability to take specific actions, such as incurring additional debt, making capital expenditures or declaring dividends. In addition, debt financing would result in fixed payment obligations.</w:t>
      </w:r>
    </w:p>
    <w:p>
      <w:pPr>
        <w:spacing w:after="0" w:line="195" w:lineRule="exact"/>
        <w:rPr>
          <w:sz w:val="20"/>
          <w:szCs w:val="20"/>
          <w:color w:val="auto"/>
        </w:rPr>
      </w:pPr>
    </w:p>
    <w:p>
      <w:pPr>
        <w:ind w:right="120" w:firstLine="382"/>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220" w:firstLine="382"/>
        <w:spacing w:after="0" w:line="259" w:lineRule="auto"/>
        <w:rPr>
          <w:sz w:val="20"/>
          <w:szCs w:val="20"/>
          <w:color w:val="auto"/>
        </w:rPr>
      </w:pPr>
      <w:r>
        <w:rPr>
          <w:rFonts w:ascii="Arial" w:cs="Arial" w:eastAsia="Arial" w:hAnsi="Arial"/>
          <w:sz w:val="18"/>
          <w:szCs w:val="18"/>
          <w:color w:val="auto"/>
        </w:rPr>
        <w:t>During the audit of our financial statements for the year ended December 31, 2020, material weaknesses were identified in our internal control over financial reporting. Under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are in the process of implementing a number of measures to address the material weaknesses and deficiencies that have been identified including:</w:t>
      </w:r>
    </w:p>
    <w:p>
      <w:pPr>
        <w:spacing w:after="0" w:line="46" w:lineRule="exact"/>
        <w:rPr>
          <w:sz w:val="20"/>
          <w:szCs w:val="20"/>
          <w:color w:val="auto"/>
        </w:rPr>
      </w:pPr>
    </w:p>
    <w:p>
      <w:pPr>
        <w:ind w:firstLine="8"/>
        <w:spacing w:after="0" w:line="295" w:lineRule="auto"/>
        <w:tabs>
          <w:tab w:leader="none" w:pos="2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hiring additional accounting and financial reporting personnel with generally accepted accounting principles in the United States, or US GAAP, and SEC reporting experience, (ii) developing, communicating and implementing an accounting policy manual for our accounting and financial reporting personnel for recurring transactions and period-end closing processes, and (iii) establishing effective monitoring and oversight controls for non-recurring and complex transactions to ensure the accuracy and completeness of our company’s consolidated financial statements and related disclosures.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20" w:firstLine="382"/>
        <w:spacing w:after="0" w:line="311" w:lineRule="auto"/>
        <w:rPr>
          <w:sz w:val="20"/>
          <w:szCs w:val="20"/>
          <w:color w:val="auto"/>
        </w:rPr>
      </w:pPr>
      <w:r>
        <w:rPr>
          <w:rFonts w:ascii="Arial" w:cs="Arial" w:eastAsia="Arial" w:hAnsi="Arial"/>
          <w:sz w:val="16"/>
          <w:szCs w:val="16"/>
          <w:color w:val="auto"/>
        </w:rPr>
        <w:t>These additional resources and procedures are designed to enable us to broaden the scope and quality of our internal review of underlying information related to financial reporting and to formalize and enhance our internal control procedures. With the oversight of senior management and our audit committee, we have begun taking steps and plan to take additional measures to remediate the underlying causes of the material weaknesses.</w:t>
      </w:r>
    </w:p>
    <w:p>
      <w:pPr>
        <w:spacing w:after="0" w:line="149" w:lineRule="exact"/>
        <w:rPr>
          <w:sz w:val="20"/>
          <w:szCs w:val="20"/>
          <w:color w:val="auto"/>
        </w:rPr>
      </w:pPr>
    </w:p>
    <w:p>
      <w:pPr>
        <w:ind w:right="100" w:firstLine="382"/>
        <w:spacing w:after="0" w:line="259" w:lineRule="auto"/>
        <w:rPr>
          <w:sz w:val="20"/>
          <w:szCs w:val="20"/>
          <w:color w:val="auto"/>
        </w:rPr>
      </w:pPr>
      <w:r>
        <w:rPr>
          <w:rFonts w:ascii="Arial" w:cs="Arial" w:eastAsia="Arial" w:hAnsi="Arial"/>
          <w:sz w:val="18"/>
          <w:szCs w:val="18"/>
          <w:color w:val="auto"/>
        </w:rPr>
        <w:t>We intend to complete the implementation of our remediation plan during the remainder of 2021. Although we believe that our remediation plan will improve our internal control over financial reporting, additional time may be required to fully implement it and to make conclusions regarding the effectiveness of our internal control over financial reporting. Our management will closely monitor and modify, as appropriate, the remediation plan to eliminate the identified material weakness.</w:t>
      </w:r>
    </w:p>
    <w:p>
      <w:pPr>
        <w:spacing w:after="0" w:line="187" w:lineRule="exact"/>
        <w:rPr>
          <w:sz w:val="20"/>
          <w:szCs w:val="20"/>
          <w:color w:val="auto"/>
        </w:rPr>
      </w:pPr>
    </w:p>
    <w:p>
      <w:pPr>
        <w:ind w:firstLine="382"/>
        <w:spacing w:after="0" w:line="275" w:lineRule="auto"/>
        <w:rPr>
          <w:sz w:val="20"/>
          <w:szCs w:val="20"/>
          <w:color w:val="auto"/>
        </w:rPr>
      </w:pPr>
      <w:r>
        <w:rPr>
          <w:rFonts w:ascii="Arial" w:cs="Arial" w:eastAsia="Arial" w:hAnsi="Arial"/>
          <w:sz w:val="17"/>
          <w:szCs w:val="17"/>
          <w:color w:val="auto"/>
        </w:rPr>
        <w:t>If our remediation of the material weaknesses is not effective, or if we experience additional material weaknesses or otherwise fail to maintain an effective system of internal control over financial reporting in the future, we may not be able to accurately or timely report our financial condition or results of operations. Accordingly, there could continue to be a reasonable possibility that a material misstatement of our financial statements would not be prevented or detected on a timely basis. We cannot assure you that the measures we have taken to date, or any measures we may take in the future, will be sufficient to remediate the material weaknesses we have identified or avoid potential future material weaknesses.</w:t>
      </w:r>
    </w:p>
    <w:p>
      <w:pPr>
        <w:spacing w:after="0" w:line="176" w:lineRule="exact"/>
        <w:rPr>
          <w:sz w:val="20"/>
          <w:szCs w:val="20"/>
          <w:color w:val="auto"/>
        </w:rPr>
      </w:pPr>
    </w:p>
    <w:p>
      <w:pPr>
        <w:ind w:right="440" w:firstLine="382"/>
        <w:spacing w:after="0" w:line="301" w:lineRule="auto"/>
        <w:rPr>
          <w:sz w:val="20"/>
          <w:szCs w:val="20"/>
          <w:color w:val="auto"/>
        </w:rPr>
      </w:pPr>
      <w:r>
        <w:rPr>
          <w:rFonts w:ascii="Arial" w:cs="Arial" w:eastAsia="Arial" w:hAnsi="Arial"/>
          <w:sz w:val="16"/>
          <w:szCs w:val="16"/>
          <w:color w:val="auto"/>
        </w:rPr>
        <w:t>We, and our independent registered public accounting firm, were not required to report on our evaluation of the Company’s internal control over financial reporting as of June 30, 2021 in accordance with the provisions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 of the Sarbanes-Oxley Act.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80" w:firstLine="382"/>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U.S. Securities and Exchange Commission.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21"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is based on our financial statements, which are prepared in accordance with US GAAP. The preparation of our financial statements requires us to make estimates, assumptions and judgments that affect the reported amounts of assets, liabilities, costs and expenses. We base our estimates and assumptions on historical experience and other factors that we believe to be reasonable under the circumstances. We evaluate our estimates and assumptions on an ongoing basis. Our actual results may differ from these estimates.</w:t>
      </w:r>
    </w:p>
    <w:p>
      <w:pPr>
        <w:spacing w:after="0" w:line="188"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During the three months ended June 30, 2021, there were no significant changes to our critical accounting policies disclosed in our audited financial statements for the year ended December 31, 2020, which are included in our Annual Report on Form 10-K, as filed with the SEC on March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20" w:firstLine="382"/>
        <w:spacing w:after="0" w:line="286" w:lineRule="auto"/>
        <w:rPr>
          <w:sz w:val="20"/>
          <w:szCs w:val="20"/>
          <w:color w:val="auto"/>
        </w:rPr>
      </w:pPr>
      <w:r>
        <w:rPr>
          <w:rFonts w:ascii="Arial" w:cs="Arial" w:eastAsia="Arial" w:hAnsi="Arial"/>
          <w:sz w:val="17"/>
          <w:szCs w:val="17"/>
          <w:color w:val="auto"/>
        </w:rPr>
        <w:t>See note 2 in our condensed consolidated financial statements included elsewhere in this Form 10-Q for a description of recent accounting pronouncements applicable to our financial statements. Other than as disclosed in our financial statements, we do not expect that any recently issued accounting standards will have a material impact on our financial statements or will otherwise apply to our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right="60" w:firstLine="382"/>
        <w:spacing w:after="0" w:line="259" w:lineRule="auto"/>
        <w:rPr>
          <w:sz w:val="20"/>
          <w:szCs w:val="20"/>
          <w:color w:val="auto"/>
        </w:rPr>
      </w:pPr>
      <w:r>
        <w:rPr>
          <w:rFonts w:ascii="Arial" w:cs="Arial" w:eastAsia="Arial" w:hAnsi="Arial"/>
          <w:sz w:val="18"/>
          <w:szCs w:val="18"/>
          <w:color w:val="auto"/>
        </w:rPr>
        <w:t>We qualify as an EGC, as defined in the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187" w:lineRule="exact"/>
        <w:rPr>
          <w:sz w:val="20"/>
          <w:szCs w:val="20"/>
          <w:color w:val="auto"/>
        </w:rPr>
      </w:pPr>
    </w:p>
    <w:p>
      <w:pPr>
        <w:ind w:right="280" w:firstLine="382"/>
        <w:spacing w:after="0" w:line="277" w:lineRule="auto"/>
        <w:rPr>
          <w:sz w:val="20"/>
          <w:szCs w:val="20"/>
          <w:color w:val="auto"/>
        </w:rPr>
      </w:pPr>
      <w:r>
        <w:rPr>
          <w:rFonts w:ascii="Arial" w:cs="Arial" w:eastAsia="Arial" w:hAnsi="Arial"/>
          <w:sz w:val="18"/>
          <w:szCs w:val="18"/>
          <w:color w:val="auto"/>
        </w:rPr>
        <w:t>We may take advantage of these exemptions until the last day of the fiscal year following the fifth anniversary of our initial public offering or such earlier time that we are no longer an emerging growth company. We would cease to be an EGC earlier if we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spacing w:after="0" w:line="301" w:lineRule="auto"/>
        <w:rPr>
          <w:sz w:val="20"/>
          <w:szCs w:val="20"/>
          <w:color w:val="auto"/>
        </w:rPr>
      </w:pPr>
      <w:r>
        <w:rPr>
          <w:rFonts w:ascii="Arial" w:cs="Arial" w:eastAsia="Arial" w:hAnsi="Arial"/>
          <w:sz w:val="16"/>
          <w:szCs w:val="16"/>
          <w:color w:val="auto"/>
        </w:rPr>
        <w:t>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w:t>
      </w:r>
    </w:p>
    <w:p>
      <w:pPr>
        <w:spacing w:after="0" w:line="157" w:lineRule="exact"/>
        <w:rPr>
          <w:sz w:val="20"/>
          <w:szCs w:val="20"/>
          <w:color w:val="auto"/>
        </w:rPr>
      </w:pPr>
    </w:p>
    <w:p>
      <w:pPr>
        <w:ind w:right="20" w:firstLine="382"/>
        <w:spacing w:after="0" w:line="293" w:lineRule="auto"/>
        <w:rPr>
          <w:sz w:val="20"/>
          <w:szCs w:val="20"/>
          <w:color w:val="auto"/>
        </w:rPr>
      </w:pPr>
      <w:r>
        <w:rPr>
          <w:rFonts w:ascii="Arial" w:cs="Arial" w:eastAsia="Arial" w:hAnsi="Arial"/>
          <w:sz w:val="16"/>
          <w:szCs w:val="16"/>
          <w:color w:val="auto"/>
        </w:rPr>
        <w:t>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consolidated financial statements may not be directly comparable to those of other public companies.</w:t>
      </w:r>
    </w:p>
    <w:p>
      <w:pPr>
        <w:spacing w:after="0" w:line="164" w:lineRule="exact"/>
        <w:rPr>
          <w:sz w:val="20"/>
          <w:szCs w:val="20"/>
          <w:color w:val="auto"/>
        </w:rPr>
      </w:pPr>
    </w:p>
    <w:p>
      <w:pPr>
        <w:ind w:right="60" w:firstLine="382"/>
        <w:spacing w:after="0" w:line="279"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71" w:lineRule="exact"/>
        <w:rPr>
          <w:sz w:val="20"/>
          <w:szCs w:val="20"/>
          <w:color w:val="auto"/>
        </w:rPr>
      </w:pPr>
    </w:p>
    <w:p>
      <w:pPr>
        <w:ind w:right="200" w:firstLine="382"/>
        <w:spacing w:after="0" w:line="259" w:lineRule="auto"/>
        <w:rPr>
          <w:sz w:val="20"/>
          <w:szCs w:val="20"/>
          <w:color w:val="auto"/>
        </w:rPr>
      </w:pPr>
      <w:r>
        <w:rPr>
          <w:rFonts w:ascii="Arial" w:cs="Arial" w:eastAsia="Arial" w:hAnsi="Arial"/>
          <w:sz w:val="18"/>
          <w:szCs w:val="18"/>
          <w:color w:val="auto"/>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382"/>
        <w:spacing w:after="0" w:line="277" w:lineRule="auto"/>
        <w:rPr>
          <w:sz w:val="20"/>
          <w:szCs w:val="20"/>
          <w:color w:val="auto"/>
        </w:rPr>
      </w:pPr>
      <w:r>
        <w:rPr>
          <w:rFonts w:ascii="Arial" w:cs="Arial" w:eastAsia="Arial" w:hAnsi="Arial"/>
          <w:sz w:val="18"/>
          <w:szCs w:val="18"/>
          <w:color w:val="auto"/>
        </w:rPr>
        <w:t>We are a smaller reporting company as defined by Item 10 of Regulation S-K and are not required to provide the information otherwise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20" w:firstLine="382"/>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or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2"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66" w:lineRule="exact"/>
        <w:rPr>
          <w:sz w:val="20"/>
          <w:szCs w:val="20"/>
          <w:color w:val="auto"/>
        </w:rPr>
      </w:pPr>
    </w:p>
    <w:p>
      <w:pPr>
        <w:ind w:right="240" w:firstLine="382"/>
        <w:spacing w:after="0" w:line="301" w:lineRule="auto"/>
        <w:rPr>
          <w:sz w:val="20"/>
          <w:szCs w:val="20"/>
          <w:color w:val="auto"/>
        </w:rPr>
      </w:pPr>
      <w:r>
        <w:rPr>
          <w:rFonts w:ascii="Arial" w:cs="Arial" w:eastAsia="Arial" w:hAnsi="Arial"/>
          <w:sz w:val="16"/>
          <w:szCs w:val="16"/>
          <w:color w:val="auto"/>
        </w:rPr>
        <w:t>Our management, with the participation of our Chief Executive Officer and Senior Vice President of Finance and Administration, has evaluated the effectiveness of our disclosure controls and procedures as of June 30, 2021. Based on this evaluation, and due to the material weaknesses described elsewhere in Item 7. Management’s Discussion and Analysis of Financial Condition and Results of Operations, the Chief Executive Officer and Senior Vice President of Finance and Administration concluded that, as of June 30, 2021, our disclosure controls and procedures were not effective.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right="60" w:firstLine="382"/>
        <w:spacing w:after="0" w:line="263" w:lineRule="auto"/>
        <w:rPr>
          <w:sz w:val="20"/>
          <w:szCs w:val="20"/>
          <w:color w:val="auto"/>
        </w:rPr>
      </w:pPr>
      <w:r>
        <w:rPr>
          <w:rFonts w:ascii="Arial" w:cs="Arial" w:eastAsia="Arial" w:hAnsi="Arial"/>
          <w:sz w:val="18"/>
          <w:szCs w:val="18"/>
          <w:color w:val="auto"/>
        </w:rPr>
        <w:t>There were no material changes in our internal control over financial reporting (as defined in Rules 13a-15(f) and 15d-15(f) under the Exchange Act) that occurred during the three months ended June 30, 2021 which have materially affected, or are reasonably likely to materially affect, our internal control over financial reporting.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60" w:firstLine="382"/>
        <w:spacing w:after="0" w:line="277"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other litigation or legal proceedings relating to claims arising from the ordinary course of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Such risks may be amplified by the COVID-19 pandemic and its potential impact on our business and the global economy. In addition to the other information set forth in this quarterly report on Form 10-Q, you should carefully consider the factors in “Part I, Item 1A. Risk Factors” of our Annual Report on Form 10-K for the fiscal year ended December 31, 2020, filed with the Securities and Exchange Commission on March 30, 2021. There have been no material changes to the risk factors described in that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380" w:right="7400" w:hanging="372"/>
        <w:spacing w:after="0" w:line="407" w:lineRule="auto"/>
        <w:tabs>
          <w:tab w:leader="none" w:pos="253"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Equity Securities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40" w:firstLine="382"/>
        <w:spacing w:after="0" w:line="255" w:lineRule="auto"/>
        <w:rPr>
          <w:sz w:val="20"/>
          <w:szCs w:val="20"/>
          <w:color w:val="auto"/>
        </w:rPr>
      </w:pPr>
      <w:r>
        <w:rPr>
          <w:rFonts w:ascii="Arial" w:cs="Arial" w:eastAsia="Arial" w:hAnsi="Arial"/>
          <w:sz w:val="18"/>
          <w:szCs w:val="18"/>
          <w:color w:val="auto"/>
        </w:rPr>
        <w:t>On February 3, 2021, our Registration Statement on Form S-1, as amended (File No. 333-252704) was declared effective in connection with our initial public offering, or IPO, pursuant to which we sold 8,030,295 shares of our common stock, including the partial exercise of the underwriters’ option to purchase additional shares, at a price to the public of $19.00 per share. The initial closing of our initial public offering occurred on February 8, 2021. We received net proceeds from the initial public offering of $138.5 million (after deducting underwriters’ discounts and commissions and additional offering related costs of $14.1 million). Citigroup, Piper Sandler &amp; Co. and Berenberg acted as joint book-running managers for the IPO. Oppenheimer &amp; Co. acted as the lead manager for the IPO.</w:t>
      </w:r>
    </w:p>
    <w:p>
      <w:pPr>
        <w:spacing w:after="0" w:line="192" w:lineRule="exact"/>
        <w:rPr>
          <w:sz w:val="20"/>
          <w:szCs w:val="20"/>
          <w:color w:val="auto"/>
        </w:rPr>
      </w:pPr>
    </w:p>
    <w:p>
      <w:pPr>
        <w:ind w:right="100" w:firstLine="382"/>
        <w:spacing w:after="0" w:line="286" w:lineRule="auto"/>
        <w:rPr>
          <w:sz w:val="20"/>
          <w:szCs w:val="20"/>
          <w:color w:val="auto"/>
        </w:rPr>
      </w:pPr>
      <w:r>
        <w:rPr>
          <w:rFonts w:ascii="Arial" w:cs="Arial" w:eastAsia="Arial" w:hAnsi="Arial"/>
          <w:sz w:val="17"/>
          <w:szCs w:val="17"/>
          <w:color w:val="auto"/>
        </w:rPr>
        <w:t>No expenses incurred by us in connection with our initial public offering were paid directly or indirectly to (i) any of our officers or directors or their associates, (ii) any persons owning 10% or more of any class of our equity securities, or (iii) any of our affiliates, other than payments in the ordinary course of business to officers for salaries and to non-employee directors as compensation for board or board committee service.</w:t>
      </w:r>
    </w:p>
    <w:p>
      <w:pPr>
        <w:spacing w:after="0" w:line="165" w:lineRule="exact"/>
        <w:rPr>
          <w:sz w:val="20"/>
          <w:szCs w:val="20"/>
          <w:color w:val="auto"/>
        </w:rPr>
      </w:pPr>
    </w:p>
    <w:p>
      <w:pPr>
        <w:ind w:right="120" w:firstLine="382"/>
        <w:spacing w:after="0" w:line="308" w:lineRule="auto"/>
        <w:rPr>
          <w:sz w:val="20"/>
          <w:szCs w:val="20"/>
          <w:color w:val="auto"/>
        </w:rPr>
      </w:pPr>
      <w:r>
        <w:rPr>
          <w:rFonts w:ascii="Arial" w:cs="Arial" w:eastAsia="Arial" w:hAnsi="Arial"/>
          <w:sz w:val="17"/>
          <w:szCs w:val="17"/>
          <w:color w:val="auto"/>
        </w:rPr>
        <w:t>There has been no material change in the planned use of proceeds from our initial public offering from those disclosed in the final prospectus for our initial public offering dated as of February 3, 2021 and filed with the SEC on February 4, 2021 pursuant to Rule 424(b)(4).</w:t>
      </w:r>
    </w:p>
    <w:p>
      <w:pPr>
        <w:spacing w:after="0" w:line="250" w:lineRule="exact"/>
        <w:rPr>
          <w:sz w:val="20"/>
          <w:szCs w:val="20"/>
          <w:color w:val="auto"/>
        </w:rPr>
      </w:pPr>
    </w:p>
    <w:p>
      <w:pPr>
        <w:ind w:left="380" w:right="8120" w:hanging="372"/>
        <w:spacing w:after="0" w:line="407" w:lineRule="auto"/>
        <w:tabs>
          <w:tab w:leader="none" w:pos="243"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 Financial Statement Schedules.</w:t>
      </w:r>
    </w:p>
    <w:p>
      <w:pPr>
        <w:spacing w:after="0" w:line="1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Exhibits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w:t>
            </w:r>
          </w:p>
        </w:tc>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360" w:type="dxa"/>
            <w:vAlign w:val="bottom"/>
            <w:gridSpan w:val="10"/>
            <w:vMerge w:val="restart"/>
          </w:tcPr>
          <w:p>
            <w:pPr>
              <w:ind w:left="1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w:t>
            </w:r>
          </w:p>
        </w:tc>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36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9400" w:type="dxa"/>
            <w:vAlign w:val="bottom"/>
            <w:tcBorders>
              <w:top w:val="single" w:sz="8" w:color="auto"/>
              <w:bottom w:val="single" w:sz="8" w:color="0000EE"/>
            </w:tcBorders>
            <w:gridSpan w:val="5"/>
          </w:tcPr>
          <w:p>
            <w:pPr>
              <w:ind w:left="20"/>
              <w:spacing w:after="0"/>
              <w:rPr>
                <w:rFonts w:ascii="Arial" w:cs="Arial" w:eastAsia="Arial" w:hAnsi="Arial"/>
                <w:sz w:val="18"/>
                <w:szCs w:val="18"/>
                <w:color w:val="0000EE"/>
                <w:w w:val="90"/>
              </w:rPr>
            </w:pPr>
            <w:hyperlink r:id="rId45">
              <w:r>
                <w:rPr>
                  <w:rFonts w:ascii="Arial" w:cs="Arial" w:eastAsia="Arial" w:hAnsi="Arial"/>
                  <w:sz w:val="18"/>
                  <w:szCs w:val="18"/>
                  <w:color w:val="0000EE"/>
                  <w:w w:val="90"/>
                </w:rPr>
                <w:t>Amended and Restated Certificate of Incorporation (incorporated by reference to Exhibit 3.1 to the Registrant’s Current Report on</w:t>
              </w:r>
            </w:hyperlink>
          </w:p>
        </w:tc>
        <w:tc>
          <w:tcPr>
            <w:tcW w:w="600" w:type="dxa"/>
            <w:vAlign w:val="bottom"/>
            <w:tcBorders>
              <w:top w:val="single" w:sz="8" w:color="auto"/>
            </w:tcBorders>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2"/>
          </w:tcPr>
          <w:p>
            <w:pPr>
              <w:ind w:left="20"/>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Form 8-K (File No. 001-39980), filed with the SEC on February 11,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800" w:type="dxa"/>
            <w:vAlign w:val="bottom"/>
            <w:tcBorders>
              <w:bottom w:val="single" w:sz="8" w:color="0000EE"/>
            </w:tcBorders>
            <w:gridSpan w:val="10"/>
          </w:tcPr>
          <w:p>
            <w:pPr>
              <w:ind w:left="20"/>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Amended and Restated Bylaws (incorporated by reference to Exhibit 3.2 to the Registrant’s Current Report on Form 8-K (File No. 001-</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39980)</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 xml:space="preserve"> filed with the SEC on February 11, 2021).</w:t>
              </w:r>
            </w:hyperlink>
          </w:p>
        </w:tc>
        <w:tc>
          <w:tcPr>
            <w:tcW w:w="6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9920" w:type="dxa"/>
            <w:vAlign w:val="bottom"/>
            <w:tcBorders>
              <w:bottom w:val="single" w:sz="8" w:color="0000EE"/>
            </w:tcBorders>
            <w:gridSpan w:val="11"/>
          </w:tcPr>
          <w:p>
            <w:pPr>
              <w:ind w:left="20"/>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First Amended and Restated Employment Agreement, dated April 28, 2021, by and between the Company and Erin Colgan (incorporated</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2"/>
          </w:tcPr>
          <w:p>
            <w:pPr>
              <w:ind w:left="20"/>
              <w:spacing w:after="0" w:line="196" w:lineRule="exact"/>
              <w:rPr>
                <w:rFonts w:ascii="Arial" w:cs="Arial" w:eastAsia="Arial" w:hAnsi="Arial"/>
                <w:sz w:val="18"/>
                <w:szCs w:val="18"/>
                <w:color w:val="0000EE"/>
                <w:w w:val="96"/>
              </w:rPr>
            </w:pPr>
            <w:hyperlink r:id="rId47">
              <w:r>
                <w:rPr>
                  <w:rFonts w:ascii="Arial" w:cs="Arial" w:eastAsia="Arial" w:hAnsi="Arial"/>
                  <w:sz w:val="18"/>
                  <w:szCs w:val="18"/>
                  <w:color w:val="0000EE"/>
                  <w:w w:val="96"/>
                </w:rPr>
                <w:t>by reference to exhibit 10.1 to the Registrant’s Current Report on Form 8-K (File No 001-39980) file with the SEC on May 3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000" w:type="dxa"/>
            <w:vAlign w:val="bottom"/>
            <w:gridSpan w:val="12"/>
          </w:tcPr>
          <w:p>
            <w:pPr>
              <w:ind w:left="20"/>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5"/>
          </w:tcPr>
          <w:p>
            <w:pPr>
              <w:spacing w:after="0"/>
              <w:rPr>
                <w:sz w:val="17"/>
                <w:szCs w:val="17"/>
                <w:color w:val="auto"/>
              </w:rPr>
            </w:pPr>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9580" w:type="dxa"/>
            <w:vAlign w:val="bottom"/>
            <w:tcBorders>
              <w:bottom w:val="single" w:sz="8" w:color="0000EE"/>
            </w:tcBorders>
            <w:gridSpan w:val="7"/>
          </w:tcPr>
          <w:p>
            <w:pPr>
              <w:ind w:left="20"/>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Adopted Pursuant to Section 302 of the Sarbanes-Oxley Act of 2002.</w:t>
              </w:r>
            </w:hyperlink>
          </w:p>
        </w:tc>
        <w:tc>
          <w:tcPr>
            <w:tcW w:w="50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9780" w:type="dxa"/>
            <w:vAlign w:val="bottom"/>
            <w:tcBorders>
              <w:bottom w:val="single" w:sz="8" w:color="0000EE"/>
            </w:tcBorders>
            <w:gridSpan w:val="9"/>
          </w:tcPr>
          <w:p>
            <w:pPr>
              <w:ind w:left="20"/>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of Principal Executive Officer and Principal Financial Officer Pursuant to 18 U.S.C. Section 1350, as Adopted Pursuant to</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2"/>
          </w:tcPr>
          <w:p>
            <w:pPr>
              <w:ind w:left="2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Section 906 of the Sarbanes-Oxley Act of 2002</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260" w:right="80" w:hanging="1252"/>
        <w:spacing w:after="0" w:line="25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financial information from the Company’s Quarterly Report on Form 10-Q for the period ended June 30, 2021, formatted in Inline Extensible Business Reporting Language (XBRL): (i) the Condensed Consolidated Balance Sheets, (ii) the Condensed Consolidated Statements of Operations, (iii) the Condensed Consolidated Statements of Convertible Preferred Stock, Common Stock and Stockholders’ Equity (Deficit), (iv) the Condensed Consolidated Statements of Cash Flows, and (v) Notes to the Condensed Consolidated Financial Statements (filed herewith)</w:t>
      </w:r>
    </w:p>
    <w:p>
      <w:pPr>
        <w:spacing w:after="0" w:line="9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158"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942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380" w:right="160" w:hanging="372"/>
        <w:spacing w:after="0" w:line="277" w:lineRule="auto"/>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quarterly report on Form 10-Q pursuant to 18 U.S.C. Section 1350, and are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8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Sensei Biotherapeutics, Inc.</w:t>
      </w:r>
    </w:p>
    <w:p>
      <w:pPr>
        <w:spacing w:after="0" w:line="252" w:lineRule="exact"/>
        <w:rPr>
          <w:sz w:val="20"/>
          <w:szCs w:val="20"/>
          <w:color w:val="auto"/>
        </w:rPr>
      </w:pPr>
    </w:p>
    <w:p>
      <w:pPr>
        <w:spacing w:after="0"/>
        <w:tabs>
          <w:tab w:leader="none" w:pos="5620" w:val="left"/>
          <w:tab w:leader="none" w:pos="810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Celebi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John Celebi</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337" w:right="3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Celebi, certify that:</w:t>
      </w:r>
    </w:p>
    <w:p>
      <w:pPr>
        <w:spacing w:after="0" w:line="225" w:lineRule="exact"/>
        <w:rPr>
          <w:sz w:val="20"/>
          <w:szCs w:val="20"/>
          <w:color w:val="auto"/>
        </w:rPr>
      </w:pPr>
    </w:p>
    <w:p>
      <w:pPr>
        <w:ind w:left="620" w:hanging="612"/>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2021 of Sensei Biotherapeutics, Inc. (the “registrant”);</w:t>
      </w:r>
    </w:p>
    <w:p>
      <w:pPr>
        <w:spacing w:after="0" w:line="236" w:lineRule="exact"/>
        <w:rPr>
          <w:rFonts w:ascii="Arial" w:cs="Arial" w:eastAsia="Arial" w:hAnsi="Arial"/>
          <w:sz w:val="17"/>
          <w:szCs w:val="17"/>
          <w:color w:val="auto"/>
        </w:rPr>
      </w:pPr>
    </w:p>
    <w:p>
      <w:pPr>
        <w:jc w:val="both"/>
        <w:ind w:left="620" w:right="160" w:hanging="612"/>
        <w:spacing w:after="0" w:line="263"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160" w:hanging="612"/>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80" w:hanging="605"/>
        <w:spacing w:after="0" w:line="263" w:lineRule="auto"/>
        <w:tabs>
          <w:tab w:leader="none" w:pos="1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20" w:hanging="612"/>
        <w:spacing w:after="0" w:line="342" w:lineRule="auto"/>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11, 2021</w:t>
            </w:r>
          </w:p>
        </w:tc>
        <w:tc>
          <w:tcPr>
            <w:tcW w:w="7580" w:type="dxa"/>
            <w:vAlign w:val="bottom"/>
            <w:gridSpan w:val="2"/>
          </w:tcPr>
          <w:p>
            <w:pPr>
              <w:ind w:left="2040"/>
              <w:spacing w:after="0"/>
              <w:rPr>
                <w:sz w:val="20"/>
                <w:szCs w:val="20"/>
                <w:color w:val="auto"/>
              </w:rPr>
            </w:pPr>
            <w:r>
              <w:rPr>
                <w:rFonts w:ascii="Arial" w:cs="Arial" w:eastAsia="Arial" w:hAnsi="Arial"/>
                <w:sz w:val="18"/>
                <w:szCs w:val="18"/>
                <w:color w:val="auto"/>
              </w:rPr>
              <w:t>By: /s/ John Celebi</w:t>
            </w:r>
          </w:p>
        </w:tc>
      </w:tr>
      <w:tr>
        <w:trPr>
          <w:trHeight w:val="222"/>
        </w:trPr>
        <w:tc>
          <w:tcPr>
            <w:tcW w:w="36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Celebi</w:t>
            </w:r>
          </w:p>
        </w:tc>
      </w:tr>
      <w:tr>
        <w:trPr>
          <w:trHeight w:val="216"/>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Erin Colgan, certify that:</w:t>
      </w:r>
    </w:p>
    <w:p>
      <w:pPr>
        <w:spacing w:after="0" w:line="225"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2021 of Sensei Biotherapeutics, Inc. (the “registrant”);</w:t>
      </w:r>
    </w:p>
    <w:p>
      <w:pPr>
        <w:spacing w:after="0" w:line="236" w:lineRule="exact"/>
        <w:rPr>
          <w:rFonts w:ascii="Arial" w:cs="Arial" w:eastAsia="Arial" w:hAnsi="Arial"/>
          <w:sz w:val="17"/>
          <w:szCs w:val="17"/>
          <w:color w:val="auto"/>
        </w:rPr>
      </w:pPr>
    </w:p>
    <w:p>
      <w:pPr>
        <w:jc w:val="both"/>
        <w:ind w:left="620" w:right="160" w:hanging="612"/>
        <w:spacing w:after="0" w:line="263"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160" w:hanging="612"/>
        <w:spacing w:after="0" w:line="277"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80" w:hanging="605"/>
        <w:spacing w:after="0" w:line="263"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20" w:right="120" w:hanging="612"/>
        <w:spacing w:after="0" w:line="342" w:lineRule="auto"/>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220" w:hanging="605"/>
        <w:spacing w:after="0" w:line="277" w:lineRule="auto"/>
        <w:tabs>
          <w:tab w:leader="none" w:pos="1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11, 2021</w:t>
            </w:r>
          </w:p>
        </w:tc>
        <w:tc>
          <w:tcPr>
            <w:tcW w:w="7580" w:type="dxa"/>
            <w:vAlign w:val="bottom"/>
            <w:gridSpan w:val="2"/>
          </w:tcPr>
          <w:p>
            <w:pPr>
              <w:ind w:left="2040"/>
              <w:spacing w:after="0"/>
              <w:rPr>
                <w:sz w:val="20"/>
                <w:szCs w:val="20"/>
                <w:color w:val="auto"/>
              </w:rPr>
            </w:pPr>
            <w:r>
              <w:rPr>
                <w:rFonts w:ascii="Arial" w:cs="Arial" w:eastAsia="Arial" w:hAnsi="Arial"/>
                <w:sz w:val="18"/>
                <w:szCs w:val="18"/>
                <w:color w:val="auto"/>
              </w:rPr>
              <w:t>By: /s/ Erin Colgan</w:t>
            </w:r>
          </w:p>
        </w:tc>
      </w:tr>
      <w:tr>
        <w:trPr>
          <w:trHeight w:val="222"/>
        </w:trPr>
        <w:tc>
          <w:tcPr>
            <w:tcW w:w="36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Erin Colgan</w:t>
            </w:r>
          </w:p>
        </w:tc>
      </w:tr>
      <w:tr>
        <w:trPr>
          <w:trHeight w:val="216"/>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Senior Vice President of Finance and Administration</w:t>
            </w:r>
          </w:p>
        </w:tc>
      </w:tr>
      <w:tr>
        <w:trPr>
          <w:trHeight w:val="230"/>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4" w:lineRule="exact"/>
        <w:rPr>
          <w:sz w:val="20"/>
          <w:szCs w:val="20"/>
          <w:color w:val="auto"/>
        </w:rPr>
      </w:pPr>
    </w:p>
    <w:p>
      <w:pPr>
        <w:ind w:right="160" w:firstLine="797"/>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John Celebi, President and Chief Executive Officer of Sensei Biotherapeutics, Inc. (the “Company”), and Erin Colgan, Senior Vice President of Finance and Administration of the Company, each hereby certifies that, to the best of his or her knowledge:</w:t>
      </w:r>
    </w:p>
    <w:p>
      <w:pPr>
        <w:spacing w:after="0" w:line="187" w:lineRule="exact"/>
        <w:rPr>
          <w:sz w:val="20"/>
          <w:szCs w:val="20"/>
          <w:color w:val="auto"/>
        </w:rPr>
      </w:pPr>
    </w:p>
    <w:p>
      <w:pPr>
        <w:ind w:left="1220" w:right="20" w:hanging="605"/>
        <w:spacing w:after="0" w:line="308"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June 30, 2021, to which this Certification is attached as Exhibit 32.1 (the “Quarterly Report”), fully complies with the requirements of Section 13(a) or Section 15(d) of the Exchange Act; and</w:t>
      </w:r>
    </w:p>
    <w:p>
      <w:pPr>
        <w:spacing w:after="0" w:line="146" w:lineRule="exact"/>
        <w:rPr>
          <w:rFonts w:ascii="Arial" w:cs="Arial" w:eastAsia="Arial" w:hAnsi="Arial"/>
          <w:sz w:val="17"/>
          <w:szCs w:val="17"/>
          <w:color w:val="auto"/>
        </w:rPr>
      </w:pPr>
    </w:p>
    <w:p>
      <w:pPr>
        <w:ind w:left="1220" w:right="80" w:hanging="605"/>
        <w:spacing w:after="0" w:line="277" w:lineRule="auto"/>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11th day of August 2021.</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/s/ John Celebi</w:t>
            </w:r>
          </w:p>
        </w:tc>
        <w:tc>
          <w:tcPr>
            <w:tcW w:w="5000" w:type="dxa"/>
            <w:vAlign w:val="bottom"/>
          </w:tcPr>
          <w:p>
            <w:pPr>
              <w:spacing w:after="0"/>
              <w:rPr>
                <w:sz w:val="20"/>
                <w:szCs w:val="20"/>
                <w:color w:val="auto"/>
              </w:rPr>
            </w:pPr>
            <w:r>
              <w:rPr>
                <w:rFonts w:ascii="Arial" w:cs="Arial" w:eastAsia="Arial" w:hAnsi="Arial"/>
                <w:sz w:val="18"/>
                <w:szCs w:val="18"/>
                <w:color w:val="auto"/>
              </w:rPr>
              <w:t>/s/ Erin Colgan</w:t>
            </w:r>
          </w:p>
        </w:tc>
      </w:tr>
      <w:tr>
        <w:trPr>
          <w:trHeight w:val="195"/>
        </w:trPr>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Celebi</w:t>
            </w:r>
          </w:p>
        </w:tc>
        <w:tc>
          <w:tcPr>
            <w:tcW w:w="1220" w:type="dxa"/>
            <w:vAlign w:val="bottom"/>
          </w:tcPr>
          <w:p>
            <w:pPr>
              <w:spacing w:after="0"/>
              <w:rPr>
                <w:sz w:val="16"/>
                <w:szCs w:val="16"/>
                <w:color w:val="auto"/>
              </w:rPr>
            </w:pPr>
          </w:p>
        </w:tc>
        <w:tc>
          <w:tcPr>
            <w:tcW w:w="5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Erin Colgan</w:t>
            </w: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5000" w:type="dxa"/>
            <w:vAlign w:val="bottom"/>
          </w:tcPr>
          <w:p>
            <w:pPr>
              <w:spacing w:after="0"/>
              <w:rPr>
                <w:sz w:val="20"/>
                <w:szCs w:val="20"/>
                <w:color w:val="auto"/>
              </w:rPr>
            </w:pPr>
            <w:r>
              <w:rPr>
                <w:rFonts w:ascii="Arial" w:cs="Arial" w:eastAsia="Arial" w:hAnsi="Arial"/>
                <w:sz w:val="18"/>
                <w:szCs w:val="18"/>
                <w:color w:val="auto"/>
              </w:rPr>
              <w:t>Senior Vice President of Finance and Administration</w:t>
            </w: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500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29" w:lineRule="exact"/>
        <w:rPr>
          <w:sz w:val="20"/>
          <w:szCs w:val="20"/>
          <w:color w:val="auto"/>
        </w:rPr>
      </w:pPr>
    </w:p>
    <w:p>
      <w:pPr>
        <w:ind w:right="40" w:firstLine="8"/>
        <w:spacing w:after="0" w:line="263" w:lineRule="auto"/>
        <w:tabs>
          <w:tab w:leader="none" w:pos="2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8"/>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Roman"/>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3"/>
    </w:lvl>
  </w:abstractNum>
  <w:abstractNum w:abstractNumId="15">
    <w:nsid w:val="7C83E458"/>
    <w:multiLevelType w:val="hybridMultilevel"/>
    <w:lvl w:ilvl="0">
      <w:lvlJc w:val="left"/>
      <w:lvlText w:val="%1"/>
      <w:numFmt w:val="decimal"/>
      <w:start w:val="10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45" Type="http://schemas.openxmlformats.org/officeDocument/2006/relationships/hyperlink" Target="http://www.sec.gov/Archives/edgar/data/1829802/000119312521037280/d95909dex31.htm" TargetMode="External"/><Relationship Id="rId46" Type="http://schemas.openxmlformats.org/officeDocument/2006/relationships/hyperlink" Target="http://www.sec.gov/Archives/edgar/data/1829802/000119312521037280/d95909dex32.htm" TargetMode="External"/><Relationship Id="rId47" Type="http://schemas.openxmlformats.org/officeDocument/2006/relationships/hyperlink" Target="http://www.sec.gov/Archives/edgar/data/1829802/000119312521146514/d16717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2021-08-11T15:37:41Z</dcterms:created>
  <dcterms:modified xsi:type="dcterms:W3CDTF">2021-08-11T15:37:41Z</dcterms:modified>
</cp:coreProperties>
</file>