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79375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66" w:lineRule="exact"/>
        <w:rPr>
          <w:sz w:val="24"/>
          <w:szCs w:val="24"/>
          <w:color w:val="auto"/>
        </w:rPr>
      </w:pPr>
    </w:p>
    <w:p>
      <w:pPr>
        <w:ind w:left="3820" w:right="1600" w:hanging="3812"/>
        <w:spacing w:after="0" w:line="215" w:lineRule="auto"/>
        <w:tabs>
          <w:tab w:leader="none" w:pos="477" w:val="left"/>
        </w:tabs>
        <w:numPr>
          <w:ilvl w:val="0"/>
          <w:numId w:val="1"/>
        </w:numPr>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3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7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 FOR THE</w:t>
      </w:r>
    </w:p>
    <w:p>
      <w:pPr>
        <w:spacing w:after="0" w:line="45" w:lineRule="exact"/>
        <w:rPr>
          <w:sz w:val="24"/>
          <w:szCs w:val="24"/>
          <w:color w:val="auto"/>
        </w:rPr>
      </w:pPr>
    </w:p>
    <w:p>
      <w:pPr>
        <w:ind w:left="460"/>
        <w:spacing w:after="0"/>
        <w:tabs>
          <w:tab w:leader="none" w:pos="3920" w:val="left"/>
        </w:tabs>
        <w:rPr>
          <w:sz w:val="20"/>
          <w:szCs w:val="20"/>
          <w:color w:val="auto"/>
        </w:rPr>
      </w:pPr>
      <w:r>
        <w:rPr>
          <w:rFonts w:ascii="Times New Roman" w:cs="Times New Roman" w:eastAsia="Times New Roman" w:hAnsi="Times New Roman"/>
          <w:sz w:val="18"/>
          <w:szCs w:val="18"/>
          <w:b w:val="1"/>
          <w:bCs w:val="1"/>
          <w:color w:val="auto"/>
        </w:rPr>
        <w:t>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001-39980</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Sensei Biotherapeutics,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-289560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ectPr>
          <w:pgSz w:w="11900" w:h="16838" w:orient="portrait"/>
          <w:cols w:equalWidth="0" w:num="1">
            <w:col w:w="11240"/>
          </w:cols>
          <w:pgMar w:left="320" w:top="1181" w:right="339" w:bottom="1440" w:gutter="0" w:footer="0" w:header="0"/>
        </w:sectPr>
      </w:pPr>
    </w:p>
    <w:p>
      <w:pPr>
        <w:spacing w:after="0" w:line="5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7"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15"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2"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6"/>
          <w:szCs w:val="16"/>
          <w:b w:val="1"/>
          <w:bCs w:val="1"/>
          <w:color w:val="auto"/>
        </w:rPr>
        <w:t>83-1863385</w:t>
      </w:r>
    </w:p>
    <w:p>
      <w:pPr>
        <w:spacing w:after="0" w:line="2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46" w:lineRule="exact"/>
        <w:rPr>
          <w:sz w:val="24"/>
          <w:szCs w:val="24"/>
          <w:color w:val="auto"/>
        </w:rPr>
      </w:pPr>
    </w:p>
    <w:p>
      <w:pPr>
        <w:sectPr>
          <w:pgSz w:w="11900" w:h="16838" w:orient="portrait"/>
          <w:cols w:equalWidth="0" w:num="2">
            <w:col w:w="7660" w:space="200"/>
            <w:col w:w="3380"/>
          </w:cols>
          <w:pgMar w:left="320" w:top="1181" w:right="339" w:bottom="1440" w:gutter="0" w:footer="0" w:header="0"/>
          <w:type w:val="continuous"/>
        </w:sectPr>
      </w:pPr>
    </w:p>
    <w:p>
      <w:pPr>
        <w:ind w:left="1760"/>
        <w:spacing w:after="0"/>
        <w:rPr>
          <w:sz w:val="20"/>
          <w:szCs w:val="20"/>
          <w:color w:val="auto"/>
        </w:rPr>
      </w:pPr>
      <w:r>
        <w:rPr>
          <w:rFonts w:ascii="Times New Roman" w:cs="Times New Roman" w:eastAsia="Times New Roman" w:hAnsi="Times New Roman"/>
          <w:sz w:val="16"/>
          <w:szCs w:val="16"/>
          <w:b w:val="1"/>
          <w:bCs w:val="1"/>
          <w:color w:val="auto"/>
        </w:rPr>
        <w:t>1405 Research Blvd, Suite 125</w:t>
      </w:r>
    </w:p>
    <w:p>
      <w:pPr>
        <w:spacing w:after="0" w:line="28" w:lineRule="exact"/>
        <w:rPr>
          <w:sz w:val="24"/>
          <w:szCs w:val="24"/>
          <w:color w:val="auto"/>
        </w:rPr>
      </w:pPr>
    </w:p>
    <w:p>
      <w:pPr>
        <w:ind w:left="2320"/>
        <w:spacing w:after="0"/>
        <w:tabs>
          <w:tab w:leader="none" w:pos="8200" w:val="left"/>
        </w:tabs>
        <w:rPr>
          <w:sz w:val="20"/>
          <w:szCs w:val="20"/>
          <w:color w:val="auto"/>
        </w:rPr>
      </w:pPr>
      <w:r>
        <w:rPr>
          <w:rFonts w:ascii="Times New Roman" w:cs="Times New Roman" w:eastAsia="Times New Roman" w:hAnsi="Times New Roman"/>
          <w:sz w:val="16"/>
          <w:szCs w:val="16"/>
          <w:b w:val="1"/>
          <w:bCs w:val="1"/>
          <w:color w:val="auto"/>
        </w:rPr>
        <w:t>Rockville, MD</w:t>
      </w:r>
      <w:r>
        <w:rPr>
          <w:sz w:val="20"/>
          <w:szCs w:val="20"/>
          <w:color w:val="auto"/>
        </w:rPr>
        <w:tab/>
      </w:r>
      <w:r>
        <w:rPr>
          <w:rFonts w:ascii="Times New Roman" w:cs="Times New Roman" w:eastAsia="Times New Roman" w:hAnsi="Times New Roman"/>
          <w:sz w:val="16"/>
          <w:szCs w:val="16"/>
          <w:b w:val="1"/>
          <w:bCs w:val="1"/>
          <w:color w:val="auto"/>
        </w:rPr>
        <w:t>20850</w:t>
      </w:r>
    </w:p>
    <w:p>
      <w:pPr>
        <w:spacing w:after="0" w:line="18" w:lineRule="exact"/>
        <w:rPr>
          <w:sz w:val="24"/>
          <w:szCs w:val="24"/>
          <w:color w:val="auto"/>
        </w:rPr>
      </w:pPr>
    </w:p>
    <w:p>
      <w:pPr>
        <w:ind w:left="1620"/>
        <w:spacing w:after="0"/>
        <w:tabs>
          <w:tab w:leader="none" w:pos="8080" w:val="left"/>
        </w:tabs>
        <w:rPr>
          <w:sz w:val="20"/>
          <w:szCs w:val="20"/>
          <w:color w:val="auto"/>
        </w:rPr>
      </w:pPr>
      <w:r>
        <w:rPr>
          <w:rFonts w:ascii="Times New Roman" w:cs="Times New Roman" w:eastAsia="Times New Roman" w:hAnsi="Times New Roman"/>
          <w:sz w:val="14"/>
          <w:szCs w:val="14"/>
          <w:b w:val="1"/>
          <w:bCs w:val="1"/>
          <w:color w:val="auto"/>
        </w:rPr>
        <w:t>(Address of principal executive offices)</w:t>
      </w:r>
      <w:r>
        <w:rPr>
          <w:sz w:val="20"/>
          <w:szCs w:val="20"/>
          <w:color w:val="auto"/>
        </w:rPr>
        <w:tab/>
      </w:r>
      <w:r>
        <w:rPr>
          <w:rFonts w:ascii="Times New Roman" w:cs="Times New Roman" w:eastAsia="Times New Roman" w:hAnsi="Times New Roman"/>
          <w:sz w:val="14"/>
          <w:szCs w:val="14"/>
          <w:b w:val="1"/>
          <w:bCs w:val="1"/>
          <w:color w:val="auto"/>
        </w:rPr>
        <w:t>(Zip Code)</w:t>
      </w:r>
    </w:p>
    <w:p>
      <w:pPr>
        <w:spacing w:after="0" w:line="32"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(240) 243-8000</w:t>
      </w:r>
    </w:p>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-116205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55"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20" w:type="dxa"/>
            <w:vAlign w:val="bottom"/>
          </w:tcPr>
          <w:p>
            <w:pPr>
              <w:spacing w:after="0"/>
              <w:rPr>
                <w:sz w:val="15"/>
                <w:szCs w:val="15"/>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4"/>
        </w:trPr>
        <w:tc>
          <w:tcPr>
            <w:tcW w:w="4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12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SNSE</w:t>
            </w:r>
          </w:p>
        </w:tc>
        <w:tc>
          <w:tcPr>
            <w:tcW w:w="120" w:type="dxa"/>
            <w:vAlign w:val="bottom"/>
          </w:tcPr>
          <w:p>
            <w:pPr>
              <w:spacing w:after="0"/>
              <w:rPr>
                <w:sz w:val="17"/>
                <w:szCs w:val="17"/>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46" w:lineRule="exact"/>
        <w:rPr>
          <w:sz w:val="24"/>
          <w:szCs w:val="24"/>
          <w:color w:val="auto"/>
        </w:rPr>
      </w:pPr>
    </w:p>
    <w:p>
      <w:pPr>
        <w:ind w:right="32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 w:lineRule="exact"/>
        <w:rPr>
          <w:sz w:val="24"/>
          <w:szCs w:val="24"/>
          <w:color w:val="auto"/>
        </w:rPr>
      </w:pPr>
    </w:p>
    <w:p>
      <w:pPr>
        <w:ind w:right="36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ind w:right="80"/>
        <w:spacing w:after="0" w:line="27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16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78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380" w:type="dxa"/>
            <w:vAlign w:val="bottom"/>
          </w:tcPr>
          <w:p>
            <w:pPr>
              <w:ind w:left="3420"/>
              <w:spacing w:after="0"/>
              <w:rPr>
                <w:sz w:val="20"/>
                <w:szCs w:val="20"/>
                <w:color w:val="auto"/>
              </w:rPr>
            </w:pPr>
            <w:r>
              <w:rPr>
                <w:rFonts w:ascii="Times New Roman" w:cs="Times New Roman" w:eastAsia="Times New Roman" w:hAnsi="Times New Roman"/>
                <w:sz w:val="16"/>
                <w:szCs w:val="16"/>
                <w:color w:val="auto"/>
              </w:rPr>
              <w:t>Accelerated filer</w:t>
            </w:r>
          </w:p>
        </w:tc>
        <w:tc>
          <w:tcPr>
            <w:tcW w:w="320" w:type="dxa"/>
            <w:vAlign w:val="bottom"/>
          </w:tcPr>
          <w:p>
            <w:pPr>
              <w:ind w:left="1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6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78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380" w:type="dxa"/>
            <w:vAlign w:val="bottom"/>
          </w:tcPr>
          <w:p>
            <w:pPr>
              <w:ind w:left="34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20" w:type="dxa"/>
            <w:vAlign w:val="bottom"/>
          </w:tcPr>
          <w:p>
            <w:pPr>
              <w:ind w:left="1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680" w:type="dxa"/>
            <w:vAlign w:val="bottom"/>
          </w:tcPr>
          <w:p>
            <w:pPr>
              <w:spacing w:after="0"/>
              <w:rPr>
                <w:sz w:val="23"/>
                <w:szCs w:val="23"/>
                <w:color w:val="auto"/>
              </w:rPr>
            </w:pPr>
          </w:p>
        </w:tc>
        <w:tc>
          <w:tcPr>
            <w:tcW w:w="3780" w:type="dxa"/>
            <w:vAlign w:val="bottom"/>
          </w:tcPr>
          <w:p>
            <w:pPr>
              <w:spacing w:after="0"/>
              <w:rPr>
                <w:sz w:val="23"/>
                <w:szCs w:val="23"/>
                <w:color w:val="auto"/>
              </w:rPr>
            </w:pPr>
          </w:p>
        </w:tc>
        <w:tc>
          <w:tcPr>
            <w:tcW w:w="5380" w:type="dxa"/>
            <w:vAlign w:val="bottom"/>
          </w:tcPr>
          <w:p>
            <w:pPr>
              <w:ind w:left="3420"/>
              <w:spacing w:after="0"/>
              <w:rPr>
                <w:sz w:val="20"/>
                <w:szCs w:val="20"/>
                <w:color w:val="auto"/>
              </w:rPr>
            </w:pPr>
            <w:r>
              <w:rPr>
                <w:rFonts w:ascii="Times New Roman" w:cs="Times New Roman" w:eastAsia="Times New Roman" w:hAnsi="Times New Roman"/>
                <w:sz w:val="16"/>
                <w:szCs w:val="16"/>
                <w:color w:val="auto"/>
              </w:rPr>
              <w:t>Emerging growth company</w:t>
            </w:r>
          </w:p>
        </w:tc>
        <w:tc>
          <w:tcPr>
            <w:tcW w:w="320" w:type="dxa"/>
            <w:vAlign w:val="bottom"/>
          </w:tcPr>
          <w:p>
            <w:pPr>
              <w:ind w:left="1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4" w:lineRule="exact"/>
        <w:rPr>
          <w:sz w:val="24"/>
          <w:szCs w:val="24"/>
          <w:color w:val="auto"/>
        </w:rPr>
      </w:pPr>
    </w:p>
    <w:p>
      <w:pPr>
        <w:ind w:right="56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right="2780"/>
        <w:spacing w:after="0" w:line="24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May 8, 2026, the registrant had 1,341,941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814705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1"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28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0563C1"/>
                <w:w w:val="99"/>
              </w:rPr>
              <w:t>FINANCIAL INFORMATION</w:t>
            </w:r>
          </w:p>
        </w:tc>
        <w:tc>
          <w:tcPr>
            <w:tcW w:w="7040" w:type="dxa"/>
            <w:vAlign w:val="bottom"/>
            <w:gridSpan w:val="11"/>
            <w:vMerge w:val="restart"/>
          </w:tcPr>
          <w:p>
            <w:pPr>
              <w:spacing w:after="0"/>
              <w:rPr>
                <w:sz w:val="15"/>
                <w:szCs w:val="15"/>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1140" w:type="dxa"/>
            <w:vAlign w:val="bottom"/>
            <w:vMerge w:val="continue"/>
          </w:tcPr>
          <w:p>
            <w:pPr>
              <w:spacing w:after="0"/>
              <w:rPr>
                <w:sz w:val="14"/>
                <w:szCs w:val="14"/>
                <w:color w:val="auto"/>
              </w:rPr>
            </w:pPr>
          </w:p>
        </w:tc>
        <w:tc>
          <w:tcPr>
            <w:tcW w:w="2280" w:type="dxa"/>
            <w:vAlign w:val="bottom"/>
            <w:tcBorders>
              <w:bottom w:val="single" w:sz="8" w:color="0563C1"/>
            </w:tcBorders>
            <w:gridSpan w:val="10"/>
            <w:vMerge w:val="continue"/>
          </w:tcPr>
          <w:p>
            <w:pPr>
              <w:spacing w:after="0"/>
              <w:rPr>
                <w:sz w:val="14"/>
                <w:szCs w:val="14"/>
                <w:color w:val="auto"/>
              </w:rPr>
            </w:pPr>
          </w:p>
        </w:tc>
        <w:tc>
          <w:tcPr>
            <w:tcW w:w="7040" w:type="dxa"/>
            <w:vAlign w:val="bottom"/>
            <w:gridSpan w:val="11"/>
            <w:vMerge w:val="continue"/>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4260" w:type="dxa"/>
            <w:vAlign w:val="bottom"/>
            <w:tcBorders>
              <w:bottom w:val="single" w:sz="8" w:color="0563C1"/>
            </w:tcBorders>
            <w:gridSpan w:val="13"/>
          </w:tcPr>
          <w:p>
            <w:pPr>
              <w:spacing w:after="0" w:line="196" w:lineRule="exact"/>
              <w:rPr>
                <w:sz w:val="20"/>
                <w:szCs w:val="20"/>
                <w:color w:val="auto"/>
              </w:rPr>
            </w:pPr>
            <w:r>
              <w:rPr>
                <w:rFonts w:ascii="Times New Roman" w:cs="Times New Roman" w:eastAsia="Times New Roman" w:hAnsi="Times New Roman"/>
                <w:sz w:val="18"/>
                <w:szCs w:val="18"/>
                <w:color w:val="0563C1"/>
                <w:w w:val="99"/>
              </w:rPr>
              <w:t>Condensed Consolidated Financial Statements (Unaudited)</w:t>
            </w:r>
          </w:p>
        </w:tc>
        <w:tc>
          <w:tcPr>
            <w:tcW w:w="5060" w:type="dxa"/>
            <w:vAlign w:val="bottom"/>
            <w:gridSpan w:val="8"/>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32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563C1"/>
              </w:rPr>
              <w:t>Condensed Consolidated Balance Sheets as of March 31, 2026 and December 31, 2025</w:t>
            </w:r>
          </w:p>
        </w:tc>
        <w:tc>
          <w:tcPr>
            <w:tcW w:w="3000" w:type="dxa"/>
            <w:vAlign w:val="bottom"/>
            <w:gridSpan w:val="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3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563C1"/>
              </w:rPr>
              <w:t>Condensed Consolidated Statements of Operations and Comprehensive Loss for the three months ended March 31, 2026 and</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60" w:type="dxa"/>
            <w:vAlign w:val="bottom"/>
            <w:tcBorders>
              <w:top w:val="single" w:sz="8" w:color="0563C1"/>
              <w:bottom w:val="single" w:sz="8" w:color="0563C1"/>
            </w:tcBorders>
          </w:tcPr>
          <w:p>
            <w:pPr>
              <w:spacing w:after="0" w:line="196" w:lineRule="exact"/>
              <w:rPr>
                <w:sz w:val="20"/>
                <w:szCs w:val="20"/>
                <w:color w:val="auto"/>
              </w:rPr>
            </w:pPr>
            <w:r>
              <w:rPr>
                <w:rFonts w:ascii="Times New Roman" w:cs="Times New Roman" w:eastAsia="Times New Roman" w:hAnsi="Times New Roman"/>
                <w:sz w:val="18"/>
                <w:szCs w:val="18"/>
                <w:color w:val="0563C1"/>
                <w:w w:val="94"/>
              </w:rPr>
              <w:t>2025</w:t>
            </w:r>
          </w:p>
        </w:tc>
        <w:tc>
          <w:tcPr>
            <w:tcW w:w="240" w:type="dxa"/>
            <w:vAlign w:val="bottom"/>
            <w:tcBorders>
              <w:top w:val="single" w:sz="8" w:color="0563C1"/>
            </w:tcBorders>
          </w:tcPr>
          <w:p>
            <w:pPr>
              <w:spacing w:after="0"/>
              <w:rPr>
                <w:sz w:val="17"/>
                <w:szCs w:val="17"/>
                <w:color w:val="auto"/>
              </w:rPr>
            </w:pPr>
          </w:p>
        </w:tc>
        <w:tc>
          <w:tcPr>
            <w:tcW w:w="160" w:type="dxa"/>
            <w:vAlign w:val="bottom"/>
            <w:tcBorders>
              <w:top w:val="single" w:sz="8" w:color="0563C1"/>
            </w:tcBorders>
          </w:tcPr>
          <w:p>
            <w:pPr>
              <w:spacing w:after="0"/>
              <w:rPr>
                <w:sz w:val="17"/>
                <w:szCs w:val="17"/>
                <w:color w:val="auto"/>
              </w:rPr>
            </w:pPr>
          </w:p>
        </w:tc>
        <w:tc>
          <w:tcPr>
            <w:tcW w:w="140" w:type="dxa"/>
            <w:vAlign w:val="bottom"/>
            <w:tcBorders>
              <w:top w:val="single" w:sz="8" w:color="0563C1"/>
            </w:tcBorders>
          </w:tcPr>
          <w:p>
            <w:pPr>
              <w:spacing w:after="0"/>
              <w:rPr>
                <w:sz w:val="17"/>
                <w:szCs w:val="17"/>
                <w:color w:val="auto"/>
              </w:rPr>
            </w:pPr>
          </w:p>
        </w:tc>
        <w:tc>
          <w:tcPr>
            <w:tcW w:w="420" w:type="dxa"/>
            <w:vAlign w:val="bottom"/>
            <w:tcBorders>
              <w:top w:val="single" w:sz="8" w:color="0563C1"/>
            </w:tcBorders>
          </w:tcPr>
          <w:p>
            <w:pPr>
              <w:spacing w:after="0"/>
              <w:rPr>
                <w:sz w:val="17"/>
                <w:szCs w:val="17"/>
                <w:color w:val="auto"/>
              </w:rPr>
            </w:pPr>
          </w:p>
        </w:tc>
        <w:tc>
          <w:tcPr>
            <w:tcW w:w="20" w:type="dxa"/>
            <w:vAlign w:val="bottom"/>
            <w:tcBorders>
              <w:top w:val="single" w:sz="8" w:color="0563C1"/>
            </w:tcBorders>
          </w:tcPr>
          <w:p>
            <w:pPr>
              <w:spacing w:after="0"/>
              <w:rPr>
                <w:sz w:val="17"/>
                <w:szCs w:val="17"/>
                <w:color w:val="auto"/>
              </w:rPr>
            </w:pPr>
          </w:p>
        </w:tc>
        <w:tc>
          <w:tcPr>
            <w:tcW w:w="440" w:type="dxa"/>
            <w:vAlign w:val="bottom"/>
            <w:tcBorders>
              <w:top w:val="single" w:sz="8" w:color="0563C1"/>
            </w:tcBorders>
          </w:tcPr>
          <w:p>
            <w:pPr>
              <w:spacing w:after="0"/>
              <w:rPr>
                <w:sz w:val="17"/>
                <w:szCs w:val="17"/>
                <w:color w:val="auto"/>
              </w:rPr>
            </w:pPr>
          </w:p>
        </w:tc>
        <w:tc>
          <w:tcPr>
            <w:tcW w:w="20" w:type="dxa"/>
            <w:vAlign w:val="bottom"/>
            <w:tcBorders>
              <w:top w:val="single" w:sz="8" w:color="0563C1"/>
            </w:tcBorders>
          </w:tcPr>
          <w:p>
            <w:pPr>
              <w:spacing w:after="0"/>
              <w:rPr>
                <w:sz w:val="17"/>
                <w:szCs w:val="17"/>
                <w:color w:val="auto"/>
              </w:rPr>
            </w:pPr>
          </w:p>
        </w:tc>
        <w:tc>
          <w:tcPr>
            <w:tcW w:w="100" w:type="dxa"/>
            <w:vAlign w:val="bottom"/>
            <w:tcBorders>
              <w:top w:val="single" w:sz="8" w:color="0563C1"/>
            </w:tcBorders>
          </w:tcPr>
          <w:p>
            <w:pPr>
              <w:spacing w:after="0"/>
              <w:rPr>
                <w:sz w:val="17"/>
                <w:szCs w:val="17"/>
                <w:color w:val="auto"/>
              </w:rPr>
            </w:pPr>
          </w:p>
        </w:tc>
        <w:tc>
          <w:tcPr>
            <w:tcW w:w="380" w:type="dxa"/>
            <w:vAlign w:val="bottom"/>
            <w:tcBorders>
              <w:top w:val="single" w:sz="8" w:color="0563C1"/>
            </w:tcBorders>
          </w:tcPr>
          <w:p>
            <w:pPr>
              <w:spacing w:after="0"/>
              <w:rPr>
                <w:sz w:val="17"/>
                <w:szCs w:val="17"/>
                <w:color w:val="auto"/>
              </w:rPr>
            </w:pPr>
          </w:p>
        </w:tc>
        <w:tc>
          <w:tcPr>
            <w:tcW w:w="40" w:type="dxa"/>
            <w:vAlign w:val="bottom"/>
            <w:tcBorders>
              <w:top w:val="single" w:sz="8" w:color="0563C1"/>
            </w:tcBorders>
          </w:tcPr>
          <w:p>
            <w:pPr>
              <w:spacing w:after="0"/>
              <w:rPr>
                <w:sz w:val="17"/>
                <w:szCs w:val="17"/>
                <w:color w:val="auto"/>
              </w:rPr>
            </w:pPr>
          </w:p>
        </w:tc>
        <w:tc>
          <w:tcPr>
            <w:tcW w:w="1680" w:type="dxa"/>
            <w:vAlign w:val="bottom"/>
            <w:tcBorders>
              <w:top w:val="single" w:sz="8" w:color="0563C1"/>
            </w:tcBorders>
          </w:tcPr>
          <w:p>
            <w:pPr>
              <w:spacing w:after="0"/>
              <w:rPr>
                <w:sz w:val="17"/>
                <w:szCs w:val="17"/>
                <w:color w:val="auto"/>
              </w:rPr>
            </w:pPr>
          </w:p>
        </w:tc>
        <w:tc>
          <w:tcPr>
            <w:tcW w:w="260" w:type="dxa"/>
            <w:vAlign w:val="bottom"/>
            <w:tcBorders>
              <w:top w:val="single" w:sz="8" w:color="0563C1"/>
            </w:tcBorders>
          </w:tcPr>
          <w:p>
            <w:pPr>
              <w:spacing w:after="0"/>
              <w:rPr>
                <w:sz w:val="17"/>
                <w:szCs w:val="17"/>
                <w:color w:val="auto"/>
              </w:rPr>
            </w:pPr>
          </w:p>
        </w:tc>
        <w:tc>
          <w:tcPr>
            <w:tcW w:w="80" w:type="dxa"/>
            <w:vAlign w:val="bottom"/>
            <w:tcBorders>
              <w:top w:val="single" w:sz="8" w:color="0563C1"/>
            </w:tcBorders>
          </w:tcPr>
          <w:p>
            <w:pPr>
              <w:spacing w:after="0"/>
              <w:rPr>
                <w:sz w:val="17"/>
                <w:szCs w:val="17"/>
                <w:color w:val="auto"/>
              </w:rPr>
            </w:pPr>
          </w:p>
        </w:tc>
        <w:tc>
          <w:tcPr>
            <w:tcW w:w="20" w:type="dxa"/>
            <w:vAlign w:val="bottom"/>
            <w:tcBorders>
              <w:top w:val="single" w:sz="8" w:color="0563C1"/>
            </w:tcBorders>
          </w:tcPr>
          <w:p>
            <w:pPr>
              <w:spacing w:after="0"/>
              <w:rPr>
                <w:sz w:val="17"/>
                <w:szCs w:val="17"/>
                <w:color w:val="auto"/>
              </w:rPr>
            </w:pPr>
          </w:p>
        </w:tc>
        <w:tc>
          <w:tcPr>
            <w:tcW w:w="1960" w:type="dxa"/>
            <w:vAlign w:val="bottom"/>
            <w:tcBorders>
              <w:top w:val="single" w:sz="8" w:color="0563C1"/>
            </w:tcBorders>
          </w:tcPr>
          <w:p>
            <w:pPr>
              <w:spacing w:after="0"/>
              <w:rPr>
                <w:sz w:val="17"/>
                <w:szCs w:val="17"/>
                <w:color w:val="auto"/>
              </w:rPr>
            </w:pPr>
          </w:p>
        </w:tc>
        <w:tc>
          <w:tcPr>
            <w:tcW w:w="140" w:type="dxa"/>
            <w:vAlign w:val="bottom"/>
            <w:tcBorders>
              <w:top w:val="single" w:sz="8" w:color="0563C1"/>
            </w:tcBorders>
          </w:tcPr>
          <w:p>
            <w:pPr>
              <w:spacing w:after="0"/>
              <w:rPr>
                <w:sz w:val="17"/>
                <w:szCs w:val="17"/>
                <w:color w:val="auto"/>
              </w:rPr>
            </w:pPr>
          </w:p>
        </w:tc>
        <w:tc>
          <w:tcPr>
            <w:tcW w:w="1120" w:type="dxa"/>
            <w:vAlign w:val="bottom"/>
            <w:tcBorders>
              <w:top w:val="single" w:sz="8" w:color="0563C1"/>
            </w:tcBorders>
          </w:tcPr>
          <w:p>
            <w:pPr>
              <w:spacing w:after="0"/>
              <w:rPr>
                <w:sz w:val="17"/>
                <w:szCs w:val="17"/>
                <w:color w:val="auto"/>
              </w:rPr>
            </w:pPr>
          </w:p>
        </w:tc>
        <w:tc>
          <w:tcPr>
            <w:tcW w:w="1460" w:type="dxa"/>
            <w:vAlign w:val="bottom"/>
            <w:tcBorders>
              <w:top w:val="single" w:sz="8" w:color="0563C1"/>
            </w:tcBorders>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10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563C1"/>
              </w:rPr>
              <w:t>Condensed Consolidated Statements of Redeemable Convertible Preferred Stock, Common Stock and Stockholders’ (Deficit)</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360" w:type="dxa"/>
            <w:vAlign w:val="bottom"/>
            <w:tcBorders>
              <w:bottom w:val="single" w:sz="8" w:color="0563C1"/>
            </w:tcBorders>
            <w:gridSpan w:val="15"/>
          </w:tcPr>
          <w:p>
            <w:pPr>
              <w:spacing w:after="0" w:line="196" w:lineRule="exact"/>
              <w:rPr>
                <w:sz w:val="20"/>
                <w:szCs w:val="20"/>
                <w:color w:val="auto"/>
              </w:rPr>
            </w:pPr>
            <w:r>
              <w:rPr>
                <w:rFonts w:ascii="Times New Roman" w:cs="Times New Roman" w:eastAsia="Times New Roman" w:hAnsi="Times New Roman"/>
                <w:sz w:val="18"/>
                <w:szCs w:val="18"/>
                <w:color w:val="0563C1"/>
                <w:w w:val="99"/>
              </w:rPr>
              <w:t>Equity for the three months ended March 31, 2026 and 2025</w:t>
            </w:r>
          </w:p>
        </w:tc>
        <w:tc>
          <w:tcPr>
            <w:tcW w:w="4960" w:type="dxa"/>
            <w:vAlign w:val="bottom"/>
            <w:gridSpan w:val="6"/>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3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563C1"/>
              </w:rPr>
              <w:t>Condensed Consolidated Statements of Cash Flows for the three months ended March 31, 2026 and 2025</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000" w:type="dxa"/>
            <w:vAlign w:val="bottom"/>
            <w:tcBorders>
              <w:top w:val="single" w:sz="8" w:color="0563C1"/>
              <w:bottom w:val="single" w:sz="8" w:color="0563C1"/>
            </w:tcBorders>
            <w:gridSpan w:val="12"/>
          </w:tcPr>
          <w:p>
            <w:pPr>
              <w:spacing w:after="0" w:line="196" w:lineRule="exact"/>
              <w:rPr>
                <w:sz w:val="20"/>
                <w:szCs w:val="20"/>
                <w:color w:val="auto"/>
              </w:rPr>
            </w:pPr>
            <w:r>
              <w:rPr>
                <w:rFonts w:ascii="Times New Roman" w:cs="Times New Roman" w:eastAsia="Times New Roman" w:hAnsi="Times New Roman"/>
                <w:sz w:val="18"/>
                <w:szCs w:val="18"/>
                <w:color w:val="0563C1"/>
                <w:w w:val="99"/>
              </w:rPr>
              <w:t>Notes to Condensed Consolidated Financial Statements</w:t>
            </w:r>
          </w:p>
        </w:tc>
        <w:tc>
          <w:tcPr>
            <w:tcW w:w="3580" w:type="dxa"/>
            <w:vAlign w:val="bottom"/>
            <w:tcBorders>
              <w:top w:val="single" w:sz="8" w:color="0563C1"/>
            </w:tcBorders>
            <w:gridSpan w:val="6"/>
          </w:tcPr>
          <w:p>
            <w:pPr>
              <w:spacing w:after="0"/>
              <w:rPr>
                <w:sz w:val="17"/>
                <w:szCs w:val="17"/>
                <w:color w:val="auto"/>
              </w:rPr>
            </w:pPr>
          </w:p>
        </w:tc>
        <w:tc>
          <w:tcPr>
            <w:tcW w:w="1740" w:type="dxa"/>
            <w:vAlign w:val="bottom"/>
            <w:gridSpan w:val="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563C1"/>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563C1"/>
              <w:bottom w:val="single" w:sz="8" w:color="0563C1"/>
            </w:tcBorders>
            <w:gridSpan w:val="15"/>
          </w:tcPr>
          <w:p>
            <w:pPr>
              <w:spacing w:after="0" w:line="196" w:lineRule="exact"/>
              <w:rPr>
                <w:sz w:val="20"/>
                <w:szCs w:val="20"/>
                <w:color w:val="auto"/>
              </w:rPr>
            </w:pPr>
            <w:r>
              <w:rPr>
                <w:rFonts w:ascii="Times New Roman" w:cs="Times New Roman" w:eastAsia="Times New Roman" w:hAnsi="Times New Roman"/>
                <w:sz w:val="18"/>
                <w:szCs w:val="18"/>
                <w:color w:val="0563C1"/>
                <w:w w:val="99"/>
              </w:rPr>
              <w:t>Quantitative and Qualitative Disclosures About Market Risk</w:t>
            </w:r>
          </w:p>
        </w:tc>
        <w:tc>
          <w:tcPr>
            <w:tcW w:w="2100" w:type="dxa"/>
            <w:vAlign w:val="bottom"/>
            <w:tcBorders>
              <w:top w:val="single" w:sz="8" w:color="0563C1"/>
            </w:tcBorders>
            <w:gridSpan w:val="2"/>
          </w:tcPr>
          <w:p>
            <w:pPr>
              <w:spacing w:after="0"/>
              <w:rPr>
                <w:sz w:val="17"/>
                <w:szCs w:val="17"/>
                <w:color w:val="auto"/>
              </w:rPr>
            </w:pPr>
          </w:p>
        </w:tc>
        <w:tc>
          <w:tcPr>
            <w:tcW w:w="2860" w:type="dxa"/>
            <w:vAlign w:val="bottom"/>
            <w:gridSpan w:val="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563C1"/>
            </w:tcBorders>
            <w:gridSpan w:val="7"/>
          </w:tcPr>
          <w:p>
            <w:pPr>
              <w:spacing w:after="0" w:line="196" w:lineRule="exact"/>
              <w:rPr>
                <w:sz w:val="20"/>
                <w:szCs w:val="20"/>
                <w:color w:val="auto"/>
              </w:rPr>
            </w:pPr>
            <w:r>
              <w:rPr>
                <w:rFonts w:ascii="Times New Roman" w:cs="Times New Roman" w:eastAsia="Times New Roman" w:hAnsi="Times New Roman"/>
                <w:sz w:val="18"/>
                <w:szCs w:val="18"/>
                <w:color w:val="0563C1"/>
                <w:w w:val="99"/>
              </w:rPr>
              <w:t>Controls and Procedures</w:t>
            </w:r>
          </w:p>
        </w:tc>
        <w:tc>
          <w:tcPr>
            <w:tcW w:w="20" w:type="dxa"/>
            <w:vAlign w:val="bottom"/>
            <w:tcBorders>
              <w:bottom w:val="single" w:sz="8" w:color="0000EE"/>
            </w:tcBorders>
          </w:tcPr>
          <w:p>
            <w:pPr>
              <w:spacing w:after="0"/>
              <w:rPr>
                <w:sz w:val="17"/>
                <w:szCs w:val="17"/>
                <w:color w:val="auto"/>
              </w:rPr>
            </w:pPr>
          </w:p>
        </w:tc>
        <w:tc>
          <w:tcPr>
            <w:tcW w:w="7520" w:type="dxa"/>
            <w:vAlign w:val="bottom"/>
            <w:gridSpan w:val="1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320" w:type="dxa"/>
            <w:vAlign w:val="bottom"/>
            <w:gridSpan w:val="21"/>
          </w:tcPr>
          <w:p>
            <w:pPr>
              <w:spacing w:after="0"/>
              <w:rPr>
                <w:sz w:val="20"/>
                <w:szCs w:val="20"/>
                <w:color w:val="auto"/>
              </w:rPr>
            </w:pPr>
            <w:r>
              <w:rPr>
                <w:rFonts w:ascii="Times New Roman" w:cs="Times New Roman" w:eastAsia="Times New Roman" w:hAnsi="Times New Roman"/>
                <w:sz w:val="18"/>
                <w:szCs w:val="18"/>
                <w:color w:val="0563C1"/>
              </w:rPr>
              <w:t>OTHER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563C1"/>
              <w:bottom w:val="single" w:sz="8" w:color="0563C1"/>
            </w:tcBorders>
            <w:gridSpan w:val="6"/>
          </w:tcPr>
          <w:p>
            <w:pPr>
              <w:spacing w:after="0" w:line="196" w:lineRule="exact"/>
              <w:rPr>
                <w:sz w:val="20"/>
                <w:szCs w:val="20"/>
                <w:color w:val="auto"/>
              </w:rPr>
            </w:pPr>
            <w:r>
              <w:rPr>
                <w:rFonts w:ascii="Times New Roman" w:cs="Times New Roman" w:eastAsia="Times New Roman" w:hAnsi="Times New Roman"/>
                <w:sz w:val="18"/>
                <w:szCs w:val="18"/>
                <w:color w:val="0563C1"/>
                <w:w w:val="98"/>
              </w:rPr>
              <w:t>Legal Proceedings</w:t>
            </w:r>
          </w:p>
        </w:tc>
        <w:tc>
          <w:tcPr>
            <w:tcW w:w="560" w:type="dxa"/>
            <w:vAlign w:val="bottom"/>
            <w:tcBorders>
              <w:top w:val="single" w:sz="8" w:color="0563C1"/>
            </w:tcBorders>
            <w:gridSpan w:val="3"/>
          </w:tcPr>
          <w:p>
            <w:pPr>
              <w:spacing w:after="0"/>
              <w:rPr>
                <w:sz w:val="17"/>
                <w:szCs w:val="17"/>
                <w:color w:val="auto"/>
              </w:rPr>
            </w:pPr>
          </w:p>
        </w:tc>
        <w:tc>
          <w:tcPr>
            <w:tcW w:w="7420" w:type="dxa"/>
            <w:vAlign w:val="bottom"/>
            <w:gridSpan w:val="1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3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563C1"/>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8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563C1"/>
              </w:rPr>
              <w:t>Unregistered Sales of Equity Securities and Use of Proceeds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563C1"/>
            </w:tcBorders>
            <w:gridSpan w:val="14"/>
          </w:tcPr>
          <w:p>
            <w:pPr>
              <w:spacing w:after="0" w:line="196" w:lineRule="exact"/>
              <w:rPr>
                <w:sz w:val="20"/>
                <w:szCs w:val="20"/>
                <w:color w:val="auto"/>
              </w:rPr>
            </w:pPr>
            <w:r>
              <w:rPr>
                <w:rFonts w:ascii="Times New Roman" w:cs="Times New Roman" w:eastAsia="Times New Roman" w:hAnsi="Times New Roman"/>
                <w:sz w:val="18"/>
                <w:szCs w:val="18"/>
                <w:color w:val="0563C1"/>
              </w:rPr>
              <w:t>Defaults Upon Senior Securities</w:t>
            </w:r>
          </w:p>
        </w:tc>
        <w:tc>
          <w:tcPr>
            <w:tcW w:w="4980" w:type="dxa"/>
            <w:vAlign w:val="bottom"/>
            <w:gridSpan w:val="7"/>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563C1"/>
              <w:bottom w:val="single" w:sz="8" w:color="0563C1"/>
            </w:tcBorders>
            <w:gridSpan w:val="7"/>
          </w:tcPr>
          <w:p>
            <w:pPr>
              <w:spacing w:after="0" w:line="196" w:lineRule="exact"/>
              <w:rPr>
                <w:sz w:val="20"/>
                <w:szCs w:val="20"/>
                <w:color w:val="auto"/>
              </w:rPr>
            </w:pPr>
            <w:r>
              <w:rPr>
                <w:rFonts w:ascii="Times New Roman" w:cs="Times New Roman" w:eastAsia="Times New Roman" w:hAnsi="Times New Roman"/>
                <w:sz w:val="18"/>
                <w:szCs w:val="18"/>
                <w:color w:val="0563C1"/>
                <w:w w:val="99"/>
              </w:rPr>
              <w:t>Mine Safety Disclosures</w:t>
            </w:r>
          </w:p>
        </w:tc>
        <w:tc>
          <w:tcPr>
            <w:tcW w:w="540" w:type="dxa"/>
            <w:vAlign w:val="bottom"/>
            <w:tcBorders>
              <w:top w:val="single" w:sz="8" w:color="0563C1"/>
            </w:tcBorders>
            <w:gridSpan w:val="4"/>
          </w:tcPr>
          <w:p>
            <w:pPr>
              <w:spacing w:after="0"/>
              <w:rPr>
                <w:sz w:val="17"/>
                <w:szCs w:val="17"/>
                <w:color w:val="auto"/>
              </w:rPr>
            </w:pPr>
          </w:p>
        </w:tc>
        <w:tc>
          <w:tcPr>
            <w:tcW w:w="7000" w:type="dxa"/>
            <w:vAlign w:val="bottom"/>
            <w:gridSpan w:val="10"/>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563C1"/>
            </w:tcBorders>
            <w:gridSpan w:val="5"/>
          </w:tcPr>
          <w:p>
            <w:pPr>
              <w:spacing w:after="0" w:line="196" w:lineRule="exact"/>
              <w:rPr>
                <w:sz w:val="20"/>
                <w:szCs w:val="20"/>
                <w:color w:val="auto"/>
              </w:rPr>
            </w:pPr>
            <w:r>
              <w:rPr>
                <w:rFonts w:ascii="Times New Roman" w:cs="Times New Roman" w:eastAsia="Times New Roman" w:hAnsi="Times New Roman"/>
                <w:sz w:val="18"/>
                <w:szCs w:val="18"/>
                <w:color w:val="0563C1"/>
                <w:w w:val="98"/>
              </w:rPr>
              <w:t>Other Information</w:t>
            </w:r>
          </w:p>
        </w:tc>
        <w:tc>
          <w:tcPr>
            <w:tcW w:w="8000" w:type="dxa"/>
            <w:vAlign w:val="bottom"/>
            <w:gridSpan w:val="16"/>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3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563C1"/>
              </w:rPr>
              <w:t>Exhibits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560" w:type="dxa"/>
            <w:vAlign w:val="bottom"/>
            <w:gridSpan w:val="1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3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563C1"/>
              </w:rPr>
              <w:t>Signatures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SENSEI BIOTHERAPEUTICS,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5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10"/>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152,325</w:t>
            </w:r>
          </w:p>
        </w:tc>
        <w:tc>
          <w:tcPr>
            <w:tcW w:w="18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8,668</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50,468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12,516</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w:t>
            </w:r>
          </w:p>
        </w:tc>
        <w:tc>
          <w:tcPr>
            <w:tcW w:w="3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8"/>
                <w:szCs w:val="18"/>
                <w:color w:val="auto"/>
              </w:rPr>
            </w:pPr>
          </w:p>
        </w:tc>
      </w:tr>
      <w:tr>
        <w:trPr>
          <w:trHeight w:val="209"/>
        </w:trPr>
        <w:tc>
          <w:tcPr>
            <w:tcW w:w="7540" w:type="dxa"/>
            <w:vAlign w:val="bottom"/>
            <w:tcBorders>
              <w:bottom w:val="single" w:sz="8" w:color="CFF0FC"/>
            </w:tcBorders>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204,232</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21,507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 operating leases, net</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 - financing leases, net</w:t>
            </w:r>
          </w:p>
        </w:tc>
        <w:tc>
          <w:tcPr>
            <w:tcW w:w="30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8"/>
                <w:szCs w:val="18"/>
                <w:color w:val="auto"/>
              </w:rPr>
            </w:pPr>
          </w:p>
        </w:tc>
      </w:tr>
      <w:tr>
        <w:trPr>
          <w:trHeight w:val="216"/>
        </w:trPr>
        <w:tc>
          <w:tcPr>
            <w:tcW w:w="7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205,381</w:t>
            </w:r>
          </w:p>
        </w:tc>
        <w:tc>
          <w:tcPr>
            <w:tcW w:w="18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22,902</w:t>
            </w:r>
          </w:p>
        </w:tc>
        <w:tc>
          <w:tcPr>
            <w:tcW w:w="100" w:type="dxa"/>
            <w:vAlign w:val="bottom"/>
          </w:tcPr>
          <w:p>
            <w:pPr>
              <w:spacing w:after="0"/>
              <w:rPr>
                <w:sz w:val="18"/>
                <w:szCs w:val="18"/>
                <w:color w:val="auto"/>
              </w:rPr>
            </w:pPr>
          </w:p>
        </w:tc>
      </w:tr>
      <w:tr>
        <w:trPr>
          <w:trHeight w:val="20"/>
        </w:trPr>
        <w:tc>
          <w:tcPr>
            <w:tcW w:w="7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5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redeemable convertible preferred stock and stockholders’ (deficit) equity</w:t>
            </w:r>
          </w:p>
        </w:tc>
        <w:tc>
          <w:tcPr>
            <w:tcW w:w="3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8,982</w:t>
            </w:r>
          </w:p>
        </w:tc>
        <w:tc>
          <w:tcPr>
            <w:tcW w:w="18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Compensation and employee benefits liabilities</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Financing lease liabilities, current</w:t>
            </w: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FF0FC"/>
            </w:tcBorders>
          </w:tcPr>
          <w:p>
            <w:pPr>
              <w:spacing w:after="0"/>
              <w:rPr>
                <w:sz w:val="18"/>
                <w:szCs w:val="18"/>
                <w:color w:val="auto"/>
              </w:rPr>
            </w:pPr>
          </w:p>
        </w:tc>
      </w:tr>
      <w:tr>
        <w:trPr>
          <w:trHeight w:val="210"/>
        </w:trPr>
        <w:tc>
          <w:tcPr>
            <w:tcW w:w="7540" w:type="dxa"/>
            <w:vAlign w:val="bottom"/>
            <w:tcBorders>
              <w:bottom w:val="single" w:sz="8" w:color="CFF0FC"/>
            </w:tcBorders>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14,190</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30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540" w:type="dxa"/>
            <w:vAlign w:val="bottom"/>
            <w:tcBorders>
              <w:top w:val="single" w:sz="8" w:color="CFF0FC"/>
            </w:tcBorders>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14,191</w:t>
            </w: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4,310</w:t>
            </w:r>
          </w:p>
        </w:tc>
        <w:tc>
          <w:tcPr>
            <w:tcW w:w="100" w:type="dxa"/>
            <w:vAlign w:val="bottom"/>
            <w:tcBorders>
              <w:top w:val="single" w:sz="8" w:color="CFF0FC"/>
            </w:tcBorders>
          </w:tcPr>
          <w:p>
            <w:pPr>
              <w:spacing w:after="0"/>
              <w:rPr>
                <w:sz w:val="18"/>
                <w:szCs w:val="18"/>
                <w:color w:val="auto"/>
              </w:rPr>
            </w:pPr>
          </w:p>
        </w:tc>
      </w:tr>
      <w:tr>
        <w:trPr>
          <w:trHeight w:val="209"/>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3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B redeemable convertible preferred stock, $0.0001 par value; 25,045 and 0 shares authorized</w:t>
            </w: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as of March 31, 2026 and December 31, 2025, respectively; 24,937 and 0 shares issued and</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March 31, 2026, and December 31, 2025, respectively; liquidation value of $0 as of</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March 31, 2026</w:t>
            </w: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328,476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(deficit) equity:</w:t>
            </w:r>
          </w:p>
        </w:tc>
        <w:tc>
          <w:tcPr>
            <w:tcW w:w="3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12,500,000 shares authorized as of March 31, 2026 and</w:t>
            </w: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2025; 1,340,333 and 1,261,685 shares issued and outstanding as of March 31, 2026</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and December 31, 2025, respectively</w:t>
            </w:r>
          </w:p>
        </w:tc>
        <w:tc>
          <w:tcPr>
            <w:tcW w:w="30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316,111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301,728</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(453,373)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(283,137)</w:t>
            </w:r>
          </w:p>
        </w:tc>
      </w:tr>
      <w:tr>
        <w:trPr>
          <w:trHeight w:val="21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30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r>
      <w:tr>
        <w:trPr>
          <w:trHeight w:val="20"/>
        </w:trPr>
        <w:tc>
          <w:tcPr>
            <w:tcW w:w="75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3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(137,286)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18,592</w:t>
            </w:r>
          </w:p>
        </w:tc>
        <w:tc>
          <w:tcPr>
            <w:tcW w:w="100" w:type="dxa"/>
            <w:vAlign w:val="bottom"/>
          </w:tcPr>
          <w:p>
            <w:pPr>
              <w:spacing w:after="0"/>
              <w:rPr>
                <w:sz w:val="18"/>
                <w:szCs w:val="18"/>
                <w:color w:val="auto"/>
              </w:rPr>
            </w:pPr>
          </w:p>
        </w:tc>
      </w:tr>
      <w:tr>
        <w:trPr>
          <w:trHeight w:val="20"/>
        </w:trPr>
        <w:tc>
          <w:tcPr>
            <w:tcW w:w="7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5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Total liabilities, redeemable convertible preferred stock, and stockholders’ (deficit) equity</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205,381</w:t>
            </w:r>
          </w:p>
        </w:tc>
        <w:tc>
          <w:tcPr>
            <w:tcW w:w="18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22,902</w:t>
            </w:r>
          </w:p>
        </w:tc>
        <w:tc>
          <w:tcPr>
            <w:tcW w:w="100" w:type="dxa"/>
            <w:vAlign w:val="bottom"/>
            <w:shd w:val="clear" w:color="auto" w:fill="CFF0FC"/>
          </w:tcPr>
          <w:p>
            <w:pPr>
              <w:spacing w:after="0"/>
              <w:rPr>
                <w:sz w:val="19"/>
                <w:szCs w:val="19"/>
                <w:color w:val="auto"/>
              </w:rPr>
            </w:pPr>
          </w:p>
        </w:tc>
      </w:tr>
      <w:tr>
        <w:trPr>
          <w:trHeight w:val="20"/>
        </w:trPr>
        <w:tc>
          <w:tcPr>
            <w:tcW w:w="75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-4097020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-4097020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-3539490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-3539490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5821680</wp:posOffset>
            </wp:positionH>
            <wp:positionV relativeFrom="paragraph">
              <wp:posOffset>-2557780</wp:posOffset>
            </wp:positionV>
            <wp:extent cx="93980" cy="1797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-2557780</wp:posOffset>
            </wp:positionV>
            <wp:extent cx="93980" cy="179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-2116455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-2116455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-316865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-24765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SENSEI BIOTHERAPEUTICS,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7" w:lineRule="exact"/>
        <w:rPr>
          <w:sz w:val="20"/>
          <w:szCs w:val="20"/>
          <w:color w:val="auto"/>
        </w:rPr>
      </w:pPr>
    </w:p>
    <w:p>
      <w:pPr>
        <w:jc w:val="center"/>
        <w:ind w:left="746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jc w:val="center"/>
        <w:ind w:left="7460"/>
        <w:spacing w:after="0"/>
        <w:rPr>
          <w:sz w:val="20"/>
          <w:szCs w:val="20"/>
          <w:color w:val="auto"/>
        </w:rPr>
      </w:pPr>
      <w:r>
        <w:rPr>
          <w:rFonts w:ascii="Times New Roman" w:cs="Times New Roman" w:eastAsia="Times New Roman" w:hAnsi="Times New Roman"/>
          <w:sz w:val="14"/>
          <w:szCs w:val="14"/>
          <w:b w:val="1"/>
          <w:bCs w:val="1"/>
          <w:color w:val="auto"/>
        </w:rPr>
        <w:t>Ended March 31,</w:t>
      </w:r>
    </w:p>
    <w:tbl>
      <w:tblPr>
        <w:tblLayout w:type="fixed"/>
        <w:tblInd w:w="0" w:type="dxa"/>
        <w:tblCellMar>
          <w:top w:w="0" w:type="dxa"/>
          <w:left w:w="0" w:type="dxa"/>
          <w:bottom w:w="0" w:type="dxa"/>
          <w:right w:w="0" w:type="dxa"/>
        </w:tblCellMar>
      </w:tblPr>
      <w:tr>
        <w:trPr>
          <w:trHeight w:val="142"/>
        </w:trPr>
        <w:tc>
          <w:tcPr>
            <w:tcW w:w="760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57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6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10"/>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17,957</w:t>
            </w:r>
          </w:p>
        </w:tc>
        <w:tc>
          <w:tcPr>
            <w:tcW w:w="160" w:type="dxa"/>
            <w:vAlign w:val="bottom"/>
          </w:tcPr>
          <w:p>
            <w:pPr>
              <w:spacing w:after="0"/>
              <w:rPr>
                <w:sz w:val="18"/>
                <w:szCs w:val="18"/>
                <w:color w:val="auto"/>
              </w:rPr>
            </w:pP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3,725</w:t>
            </w:r>
          </w:p>
        </w:tc>
        <w:tc>
          <w:tcPr>
            <w:tcW w:w="100" w:type="dxa"/>
            <w:vAlign w:val="bottom"/>
          </w:tcPr>
          <w:p>
            <w:pPr>
              <w:spacing w:after="0"/>
              <w:rPr>
                <w:sz w:val="18"/>
                <w:szCs w:val="18"/>
                <w:color w:val="auto"/>
              </w:rPr>
            </w:pPr>
          </w:p>
        </w:tc>
      </w:tr>
      <w:tr>
        <w:trPr>
          <w:trHeight w:val="216"/>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19,713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132,957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600" w:type="dxa"/>
            <w:vAlign w:val="bottom"/>
            <w:tcBorders>
              <w:bottom w:val="single" w:sz="8" w:color="CFF0FC"/>
            </w:tcBorders>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170,627</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(170,627)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(7,274)</w:t>
            </w: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income, net</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Pr>
          <w:p>
            <w:pPr>
              <w:spacing w:after="0"/>
              <w:rPr>
                <w:sz w:val="18"/>
                <w:szCs w:val="18"/>
                <w:color w:val="auto"/>
              </w:rPr>
            </w:pPr>
          </w:p>
        </w:tc>
      </w:tr>
      <w:tr>
        <w:trPr>
          <w:trHeight w:val="216"/>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FF0FC"/>
          </w:tcPr>
          <w:p>
            <w:pPr>
              <w:spacing w:after="0"/>
              <w:rPr>
                <w:sz w:val="18"/>
                <w:szCs w:val="18"/>
                <w:color w:val="auto"/>
              </w:rPr>
            </w:pPr>
          </w:p>
        </w:tc>
      </w:tr>
      <w:tr>
        <w:trPr>
          <w:trHeight w:val="20"/>
        </w:trPr>
        <w:tc>
          <w:tcPr>
            <w:tcW w:w="76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(170,236)</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(6,864)</w:t>
            </w:r>
          </w:p>
        </w:tc>
      </w:tr>
      <w:tr>
        <w:trPr>
          <w:trHeight w:val="20"/>
        </w:trPr>
        <w:tc>
          <w:tcPr>
            <w:tcW w:w="76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60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(131.45)</w:t>
            </w:r>
          </w:p>
        </w:tc>
        <w:tc>
          <w:tcPr>
            <w:tcW w:w="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(5.45)</w:t>
            </w:r>
          </w:p>
        </w:tc>
      </w:tr>
      <w:tr>
        <w:trPr>
          <w:trHeight w:val="210"/>
        </w:trPr>
        <w:tc>
          <w:tcPr>
            <w:tcW w:w="7600" w:type="dxa"/>
            <w:vAlign w:val="bottom"/>
            <w:tcBorders>
              <w:top w:val="single" w:sz="8" w:color="CFF0FC"/>
            </w:tcBorders>
          </w:tcPr>
          <w:p>
            <w:pPr>
              <w:ind w:left="680"/>
              <w:spacing w:after="0"/>
              <w:rPr>
                <w:sz w:val="20"/>
                <w:szCs w:val="20"/>
                <w:color w:val="auto"/>
              </w:rPr>
            </w:pPr>
            <w:r>
              <w:rPr>
                <w:rFonts w:ascii="Times New Roman" w:cs="Times New Roman" w:eastAsia="Times New Roman" w:hAnsi="Times New Roman"/>
                <w:sz w:val="18"/>
                <w:szCs w:val="18"/>
                <w:color w:val="auto"/>
              </w:rPr>
              <w:t>Weighted-average shares outstanding, basic and diluted</w:t>
            </w: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1,295,052</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1,259,531</w:t>
            </w:r>
          </w:p>
        </w:tc>
        <w:tc>
          <w:tcPr>
            <w:tcW w:w="100" w:type="dxa"/>
            <w:vAlign w:val="bottom"/>
            <w:tcBorders>
              <w:top w:val="single" w:sz="8" w:color="CFF0FC"/>
            </w:tcBorders>
          </w:tcPr>
          <w:p>
            <w:pPr>
              <w:spacing w:after="0"/>
              <w:rPr>
                <w:sz w:val="18"/>
                <w:szCs w:val="18"/>
                <w:color w:val="auto"/>
              </w:rPr>
            </w:pPr>
          </w:p>
        </w:tc>
      </w:tr>
      <w:tr>
        <w:trPr>
          <w:trHeight w:val="20"/>
        </w:trPr>
        <w:tc>
          <w:tcPr>
            <w:tcW w:w="7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6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Comprehensive loss:</w:t>
            </w:r>
          </w:p>
        </w:tc>
        <w:tc>
          <w:tcPr>
            <w:tcW w:w="3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(170,236)</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(6,864)</w:t>
            </w: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items:</w:t>
            </w: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gain on marketable securities</w:t>
            </w:r>
          </w:p>
        </w:tc>
        <w:tc>
          <w:tcPr>
            <w:tcW w:w="3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r>
      <w:tr>
        <w:trPr>
          <w:trHeight w:val="20"/>
        </w:trPr>
        <w:tc>
          <w:tcPr>
            <w:tcW w:w="76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3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18"/>
                <w:szCs w:val="18"/>
                <w:color w:val="auto"/>
              </w:rPr>
            </w:pPr>
          </w:p>
        </w:tc>
      </w:tr>
      <w:tr>
        <w:trPr>
          <w:trHeight w:val="20"/>
        </w:trPr>
        <w:tc>
          <w:tcPr>
            <w:tcW w:w="76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comprehensive loss</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(170,261)</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(6,857)</w:t>
            </w:r>
          </w:p>
        </w:tc>
      </w:tr>
      <w:tr>
        <w:trPr>
          <w:trHeight w:val="20"/>
        </w:trPr>
        <w:tc>
          <w:tcPr>
            <w:tcW w:w="76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-1885315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-1885315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-1328420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-1328420</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-1036320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-1036320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-170815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SENSEI BIOTHERAPEUTICS,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REDEEMABLE CONVERTIBLE PREFERRED STOCK, COMMON STOCK AND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STOCKHOLDERS’ (DEFICIT)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7"/>
          <w:szCs w:val="17"/>
          <w:b w:val="1"/>
          <w:bCs w:val="1"/>
          <w:color w:val="auto"/>
        </w:rPr>
        <w:t>Unaudited)</w:t>
      </w:r>
    </w:p>
    <w:p>
      <w:pPr>
        <w:spacing w:after="0" w:line="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(In thousands, except share data)</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three months ended March 31, 2026 and 2025</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20" w:type="dxa"/>
            <w:vAlign w:val="bottom"/>
          </w:tcPr>
          <w:p>
            <w:pPr>
              <w:spacing w:after="0"/>
              <w:rPr>
                <w:sz w:val="12"/>
                <w:szCs w:val="12"/>
                <w:color w:val="auto"/>
              </w:rPr>
            </w:pPr>
          </w:p>
        </w:tc>
        <w:tc>
          <w:tcPr>
            <w:tcW w:w="1780" w:type="dxa"/>
            <w:vAlign w:val="bottom"/>
            <w:gridSpan w:val="5"/>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Series B Redeemable</w:t>
            </w:r>
          </w:p>
        </w:tc>
        <w:tc>
          <w:tcPr>
            <w:tcW w:w="120" w:type="dxa"/>
            <w:vAlign w:val="bottom"/>
          </w:tcPr>
          <w:p>
            <w:pPr>
              <w:spacing w:after="0"/>
              <w:rPr>
                <w:sz w:val="12"/>
                <w:szCs w:val="12"/>
                <w:color w:val="auto"/>
              </w:rPr>
            </w:pPr>
          </w:p>
        </w:tc>
        <w:tc>
          <w:tcPr>
            <w:tcW w:w="1280" w:type="dxa"/>
            <w:vAlign w:val="bottom"/>
            <w:gridSpan w:val="3"/>
            <w:vMerge w:val="restart"/>
          </w:tcPr>
          <w:p>
            <w:pPr>
              <w:ind w:left="3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8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Accumulat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2"/>
                <w:szCs w:val="12"/>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2"/>
        </w:trPr>
        <w:tc>
          <w:tcPr>
            <w:tcW w:w="3120" w:type="dxa"/>
            <w:vAlign w:val="bottom"/>
          </w:tcPr>
          <w:p>
            <w:pPr>
              <w:spacing w:after="0"/>
              <w:rPr>
                <w:sz w:val="14"/>
                <w:szCs w:val="14"/>
                <w:color w:val="auto"/>
              </w:rPr>
            </w:pPr>
          </w:p>
        </w:tc>
        <w:tc>
          <w:tcPr>
            <w:tcW w:w="1780" w:type="dxa"/>
            <w:vAlign w:val="bottom"/>
            <w:gridSpan w:val="5"/>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Convertible Preferred Stock</w:t>
            </w: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4"/>
                <w:szCs w:val="14"/>
                <w:color w:val="auto"/>
              </w:rPr>
            </w:pPr>
          </w:p>
        </w:tc>
        <w:tc>
          <w:tcPr>
            <w:tcW w:w="700" w:type="dxa"/>
            <w:vAlign w:val="bottom"/>
            <w:gridSpan w:val="2"/>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rPr>
              <w:t>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05"/>
        </w:trPr>
        <w:tc>
          <w:tcPr>
            <w:tcW w:w="3120" w:type="dxa"/>
            <w:vAlign w:val="bottom"/>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gridSpan w:val="2"/>
          </w:tcPr>
          <w:p>
            <w:pPr>
              <w:spacing w:after="0" w:line="105" w:lineRule="exact"/>
              <w:rPr>
                <w:sz w:val="20"/>
                <w:szCs w:val="20"/>
                <w:color w:val="auto"/>
              </w:rPr>
            </w:pPr>
            <w:r>
              <w:rPr>
                <w:rFonts w:ascii="Times New Roman" w:cs="Times New Roman" w:eastAsia="Times New Roman" w:hAnsi="Times New Roman"/>
                <w:sz w:val="12"/>
                <w:szCs w:val="12"/>
                <w:b w:val="1"/>
                <w:bCs w:val="1"/>
                <w:color w:val="auto"/>
              </w:rPr>
              <w:t>Amoun</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3"/>
          </w:tcPr>
          <w:p>
            <w:pPr>
              <w:jc w:val="center"/>
              <w:ind w:right="280"/>
              <w:spacing w:after="0" w:line="105"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3120" w:type="dxa"/>
            <w:vAlign w:val="bottom"/>
          </w:tcPr>
          <w:p>
            <w:pPr>
              <w:spacing w:after="0"/>
              <w:rPr>
                <w:sz w:val="14"/>
                <w:szCs w:val="14"/>
                <w:color w:val="auto"/>
              </w:rPr>
            </w:pPr>
          </w:p>
        </w:tc>
        <w:tc>
          <w:tcPr>
            <w:tcW w:w="9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4"/>
                <w:szCs w:val="14"/>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t</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Loss</w:t>
            </w:r>
          </w:p>
        </w:tc>
        <w:tc>
          <w:tcPr>
            <w:tcW w:w="240" w:type="dxa"/>
            <w:vAlign w:val="bottom"/>
          </w:tcPr>
          <w:p>
            <w:pPr>
              <w:spacing w:after="0"/>
              <w:rPr>
                <w:sz w:val="14"/>
                <w:szCs w:val="14"/>
                <w:color w:val="auto"/>
              </w:rPr>
            </w:pPr>
          </w:p>
        </w:tc>
        <w:tc>
          <w:tcPr>
            <w:tcW w:w="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(Deficit) Equity</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Balance at December 31, 2024</w:t>
            </w: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1,258,940</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ind w:left="1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300,451</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FF0FC"/>
          </w:tcPr>
          <w:p>
            <w:pPr>
              <w:jc w:val="right"/>
              <w:ind w:right="13"/>
              <w:spacing w:after="0" w:line="142" w:lineRule="exact"/>
              <w:rPr>
                <w:sz w:val="20"/>
                <w:szCs w:val="20"/>
                <w:color w:val="auto"/>
              </w:rPr>
            </w:pPr>
            <w:r>
              <w:rPr>
                <w:rFonts w:ascii="Times New Roman" w:cs="Times New Roman" w:eastAsia="Times New Roman" w:hAnsi="Times New Roman"/>
                <w:sz w:val="13"/>
                <w:szCs w:val="13"/>
                <w:color w:val="auto"/>
              </w:rPr>
              <w:t>(262,052)</w:t>
            </w:r>
          </w:p>
        </w:tc>
        <w:tc>
          <w:tcPr>
            <w:tcW w:w="1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(13)</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38,386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20" w:type="dxa"/>
            <w:vAlign w:val="bottom"/>
            <w:tcBorders>
              <w:top w:val="single" w:sz="8" w:color="CFF0FC"/>
            </w:tcBorders>
          </w:tcPr>
          <w:p>
            <w:pPr>
              <w:ind w:left="60"/>
              <w:spacing w:after="0" w:line="142"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9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ind w:left="1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461</w:t>
            </w:r>
          </w:p>
        </w:tc>
        <w:tc>
          <w:tcPr>
            <w:tcW w:w="24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461</w:t>
            </w:r>
          </w:p>
        </w:tc>
        <w:tc>
          <w:tcPr>
            <w:tcW w:w="12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Surrender of shares for tax withholding</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(390)</w:t>
            </w:r>
          </w:p>
        </w:tc>
        <w:tc>
          <w:tcPr>
            <w:tcW w:w="160" w:type="dxa"/>
            <w:vAlign w:val="bottom"/>
            <w:shd w:val="clear" w:color="auto" w:fill="CFF0FC"/>
          </w:tcPr>
          <w:p>
            <w:pPr>
              <w:spacing w:after="0"/>
              <w:rPr>
                <w:sz w:val="12"/>
                <w:szCs w:val="12"/>
                <w:color w:val="auto"/>
              </w:rPr>
            </w:pPr>
          </w:p>
        </w:tc>
        <w:tc>
          <w:tcPr>
            <w:tcW w:w="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48"/>
        </w:trPr>
        <w:tc>
          <w:tcPr>
            <w:tcW w:w="31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Vesting of restricted stock shares</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1,768</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31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Unrealized gain on marketable securities</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2"/>
                <w:szCs w:val="12"/>
                <w:color w:val="auto"/>
              </w:rPr>
            </w:pPr>
          </w:p>
        </w:tc>
        <w:tc>
          <w:tcPr>
            <w:tcW w:w="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Net loss</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3"/>
              <w:spacing w:after="0"/>
              <w:rPr>
                <w:sz w:val="20"/>
                <w:szCs w:val="20"/>
                <w:color w:val="auto"/>
              </w:rPr>
            </w:pPr>
            <w:r>
              <w:rPr>
                <w:rFonts w:ascii="Times New Roman" w:cs="Times New Roman" w:eastAsia="Times New Roman" w:hAnsi="Times New Roman"/>
                <w:sz w:val="13"/>
                <w:szCs w:val="13"/>
                <w:color w:val="auto"/>
              </w:rPr>
              <w:t>(6,864)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(6,864)</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1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Balance at March 31, 2025</w:t>
            </w: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1,260,318</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ind w:left="1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300,909</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FF0FC"/>
          </w:tcPr>
          <w:p>
            <w:pPr>
              <w:jc w:val="right"/>
              <w:ind w:right="13"/>
              <w:spacing w:after="0" w:line="142" w:lineRule="exact"/>
              <w:rPr>
                <w:sz w:val="20"/>
                <w:szCs w:val="20"/>
                <w:color w:val="auto"/>
              </w:rPr>
            </w:pPr>
            <w:r>
              <w:rPr>
                <w:rFonts w:ascii="Times New Roman" w:cs="Times New Roman" w:eastAsia="Times New Roman" w:hAnsi="Times New Roman"/>
                <w:sz w:val="13"/>
                <w:szCs w:val="13"/>
                <w:color w:val="auto"/>
              </w:rPr>
              <w:t>(268,916)</w:t>
            </w:r>
          </w:p>
        </w:tc>
        <w:tc>
          <w:tcPr>
            <w:tcW w:w="1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31,987</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12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3"/>
                <w:szCs w:val="13"/>
                <w:b w:val="1"/>
                <w:bCs w:val="1"/>
                <w:color w:val="auto"/>
              </w:rPr>
              <w:t>Balance at December 31, 2025</w:t>
            </w:r>
          </w:p>
        </w:tc>
        <w:tc>
          <w:tcPr>
            <w:tcW w:w="90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020" w:type="dxa"/>
            <w:vAlign w:val="bottom"/>
            <w:tcBorders>
              <w:top w:val="single" w:sz="8" w:color="auto"/>
              <w:bottom w:val="single" w:sz="8" w:color="auto"/>
            </w:tcBorders>
            <w:gridSpan w:val="2"/>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120" w:type="dxa"/>
            <w:vAlign w:val="bottom"/>
            <w:vMerge w:val="continue"/>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1,261,685</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301,728</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(283,137</w:t>
            </w:r>
          </w:p>
        </w:tc>
        <w:tc>
          <w:tcPr>
            <w:tcW w:w="140" w:type="dxa"/>
            <w:vAlign w:val="bottom"/>
          </w:tcPr>
          <w:p>
            <w:pPr>
              <w:jc w:val="right"/>
              <w:ind w:right="1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w:t>
            </w:r>
          </w:p>
        </w:tc>
        <w:tc>
          <w:tcPr>
            <w:tcW w:w="24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18,592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20" w:type="dxa"/>
            <w:vAlign w:val="bottom"/>
            <w:shd w:val="clear" w:color="auto" w:fill="CFF0FC"/>
          </w:tcPr>
          <w:p>
            <w:pPr>
              <w:ind w:left="60"/>
              <w:spacing w:after="0" w:line="142"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2"/>
                <w:szCs w:val="12"/>
                <w:color w:val="auto"/>
              </w:rPr>
            </w:pPr>
          </w:p>
        </w:tc>
        <w:tc>
          <w:tcPr>
            <w:tcW w:w="300" w:type="dxa"/>
            <w:vAlign w:val="bottom"/>
            <w:shd w:val="clear" w:color="auto" w:fill="CFF0FC"/>
          </w:tcPr>
          <w:p>
            <w:pPr>
              <w:ind w:left="1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12,898</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73"/>
              <w:spacing w:after="0" w:line="142"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12,898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120" w:type="dxa"/>
            <w:vAlign w:val="bottom"/>
          </w:tcPr>
          <w:p>
            <w:pPr>
              <w:ind w:left="60"/>
              <w:spacing w:after="0" w:line="136" w:lineRule="exact"/>
              <w:rPr>
                <w:sz w:val="20"/>
                <w:szCs w:val="20"/>
                <w:color w:val="auto"/>
              </w:rPr>
            </w:pPr>
            <w:r>
              <w:rPr>
                <w:rFonts w:ascii="Times New Roman" w:cs="Times New Roman" w:eastAsia="Times New Roman" w:hAnsi="Times New Roman"/>
                <w:sz w:val="13"/>
                <w:szCs w:val="13"/>
                <w:color w:val="auto"/>
              </w:rPr>
              <w:t>Issuance of Series B redeemable convertible preferred</w:t>
            </w: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1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stock in connection with the acquisition of Faeth</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1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Therapeutics</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10,497</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145,384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3120" w:type="dxa"/>
            <w:vAlign w:val="bottom"/>
            <w:shd w:val="clear" w:color="auto" w:fill="CFF0FC"/>
          </w:tcPr>
          <w:p>
            <w:pPr>
              <w:ind w:left="60"/>
              <w:spacing w:after="0" w:line="136" w:lineRule="exact"/>
              <w:rPr>
                <w:sz w:val="20"/>
                <w:szCs w:val="20"/>
                <w:color w:val="auto"/>
              </w:rPr>
            </w:pPr>
            <w:r>
              <w:rPr>
                <w:rFonts w:ascii="Times New Roman" w:cs="Times New Roman" w:eastAsia="Times New Roman" w:hAnsi="Times New Roman"/>
                <w:sz w:val="13"/>
                <w:szCs w:val="13"/>
                <w:color w:val="auto"/>
              </w:rPr>
              <w:t>Fair value of the Assumed Options that relates to the</w:t>
            </w:r>
          </w:p>
        </w:tc>
        <w:tc>
          <w:tcPr>
            <w:tcW w:w="9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1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pre-combination service period</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452</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120" w:type="dxa"/>
            <w:vAlign w:val="bottom"/>
          </w:tcPr>
          <w:p>
            <w:pPr>
              <w:ind w:left="60"/>
              <w:spacing w:after="0" w:line="136" w:lineRule="exact"/>
              <w:rPr>
                <w:sz w:val="20"/>
                <w:szCs w:val="20"/>
                <w:color w:val="auto"/>
              </w:rPr>
            </w:pPr>
            <w:r>
              <w:rPr>
                <w:rFonts w:ascii="Times New Roman" w:cs="Times New Roman" w:eastAsia="Times New Roman" w:hAnsi="Times New Roman"/>
                <w:sz w:val="13"/>
                <w:szCs w:val="13"/>
                <w:color w:val="auto"/>
              </w:rPr>
              <w:t>Issuance of Series B redeemable convertible preferred</w:t>
            </w: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1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stock in connection with private placement, net of</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1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issuance costs</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14,440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183,092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31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Vesting of restricted stock shares</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1,505</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31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Exercise of options into common stock</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77,143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Unrealized loss on marketable securities</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2"/>
                <w:szCs w:val="12"/>
                <w:color w:val="auto"/>
              </w:rPr>
            </w:pPr>
          </w:p>
        </w:tc>
        <w:tc>
          <w:tcPr>
            <w:tcW w:w="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48"/>
        </w:trPr>
        <w:tc>
          <w:tcPr>
            <w:tcW w:w="31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Net loss</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3"/>
              <w:spacing w:after="0"/>
              <w:rPr>
                <w:sz w:val="20"/>
                <w:szCs w:val="20"/>
                <w:color w:val="auto"/>
              </w:rPr>
            </w:pPr>
            <w:r>
              <w:rPr>
                <w:rFonts w:ascii="Times New Roman" w:cs="Times New Roman" w:eastAsia="Times New Roman" w:hAnsi="Times New Roman"/>
                <w:sz w:val="13"/>
                <w:szCs w:val="13"/>
                <w:color w:val="auto"/>
              </w:rPr>
              <w:t>(170,236)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(170,236)</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1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Balance at March 31, 2026</w:t>
            </w: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24,937</w:t>
            </w:r>
          </w:p>
        </w:tc>
        <w:tc>
          <w:tcPr>
            <w:tcW w:w="3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328,476</w:t>
            </w: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1,340,333</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ind w:left="1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316,111</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FF0FC"/>
          </w:tcPr>
          <w:p>
            <w:pPr>
              <w:jc w:val="right"/>
              <w:ind w:right="13"/>
              <w:spacing w:after="0" w:line="142" w:lineRule="exact"/>
              <w:rPr>
                <w:sz w:val="20"/>
                <w:szCs w:val="20"/>
                <w:color w:val="auto"/>
              </w:rPr>
            </w:pPr>
            <w:r>
              <w:rPr>
                <w:rFonts w:ascii="Times New Roman" w:cs="Times New Roman" w:eastAsia="Times New Roman" w:hAnsi="Times New Roman"/>
                <w:sz w:val="13"/>
                <w:szCs w:val="13"/>
                <w:color w:val="auto"/>
              </w:rPr>
              <w:t>(453,373)</w:t>
            </w:r>
          </w:p>
        </w:tc>
        <w:tc>
          <w:tcPr>
            <w:tcW w:w="1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(24)</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(137,286)</w:t>
            </w:r>
          </w:p>
        </w:tc>
        <w:tc>
          <w:tcPr>
            <w:tcW w:w="0" w:type="dxa"/>
            <w:vAlign w:val="bottom"/>
          </w:tcPr>
          <w:p>
            <w:pPr>
              <w:spacing w:after="0"/>
              <w:rPr>
                <w:sz w:val="1"/>
                <w:szCs w:val="1"/>
                <w:color w:val="auto"/>
              </w:rPr>
            </w:pPr>
          </w:p>
        </w:tc>
      </w:tr>
      <w:tr>
        <w:trPr>
          <w:trHeight w:val="20"/>
        </w:trPr>
        <w:tc>
          <w:tcPr>
            <w:tcW w:w="31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2538095</wp:posOffset>
            </wp:positionH>
            <wp:positionV relativeFrom="paragraph">
              <wp:posOffset>-2472055</wp:posOffset>
            </wp:positionV>
            <wp:extent cx="93980" cy="2228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3980" cy="222885"/>
                    </a:xfrm>
                    <a:prstGeom prst="rect">
                      <a:avLst/>
                    </a:prstGeom>
                    <a:noFill/>
                  </pic:spPr>
                </pic:pic>
              </a:graphicData>
            </a:graphic>
          </wp:anchor>
        </w:drawing>
        <w:drawing>
          <wp:anchor simplePos="0" relativeHeight="251657728" behindDoc="1" locked="0" layoutInCell="0" allowOverlap="1">
            <wp:simplePos x="0" y="0"/>
            <wp:positionH relativeFrom="column">
              <wp:posOffset>3035300</wp:posOffset>
            </wp:positionH>
            <wp:positionV relativeFrom="paragraph">
              <wp:posOffset>-2472055</wp:posOffset>
            </wp:positionV>
            <wp:extent cx="93980" cy="2228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3980" cy="22288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-2167890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-2167890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-2167890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-2167890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-2167890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-2167890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-2167890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-2167890</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-1585595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-1567815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-1585595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-1567815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-1585595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-1567815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-1585595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-1567815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-1585595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-1567815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-1585595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-1567815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-1585595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-1567815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-1585595</wp:posOffset>
            </wp:positionV>
            <wp:extent cx="77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-1567815</wp:posOffset>
            </wp:positionV>
            <wp:extent cx="77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-24765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-7620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-24765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-7620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-24765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-7620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-24765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-7620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-24765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-7620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-24765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-7620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-24765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-7620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ind w:left="19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SENSEI BIOTHERAPEUTICS,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(In thousands)</w:t>
      </w:r>
    </w:p>
    <w:tbl>
      <w:tblPr>
        <w:tblLayout w:type="fixed"/>
        <w:tblInd w:w="0" w:type="dxa"/>
        <w:tblCellMar>
          <w:top w:w="0" w:type="dxa"/>
          <w:left w:w="0" w:type="dxa"/>
          <w:bottom w:w="0" w:type="dxa"/>
          <w:right w:w="0" w:type="dxa"/>
        </w:tblCellMar>
      </w:tblPr>
      <w:tr>
        <w:trPr>
          <w:trHeight w:val="158"/>
        </w:trPr>
        <w:tc>
          <w:tcPr>
            <w:tcW w:w="7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tcPr>
          <w:p>
            <w:pPr>
              <w:jc w:val="right"/>
              <w:ind w:right="400"/>
              <w:spacing w:after="0" w:line="157" w:lineRule="exact"/>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142"/>
        </w:trPr>
        <w:tc>
          <w:tcPr>
            <w:tcW w:w="7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196"/>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(170,236)</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(6,864)</w:t>
            </w:r>
          </w:p>
        </w:tc>
      </w:tr>
      <w:tr>
        <w:trPr>
          <w:trHeight w:val="203"/>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7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12,898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120" w:type="dxa"/>
            <w:vAlign w:val="bottom"/>
          </w:tcPr>
          <w:p>
            <w:pPr>
              <w:spacing w:after="0"/>
              <w:rPr>
                <w:sz w:val="17"/>
                <w:szCs w:val="17"/>
                <w:color w:val="auto"/>
              </w:rPr>
            </w:pPr>
          </w:p>
        </w:tc>
      </w:tr>
      <w:tr>
        <w:trPr>
          <w:trHeight w:val="203"/>
        </w:trPr>
        <w:tc>
          <w:tcPr>
            <w:tcW w:w="7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shd w:val="clear" w:color="auto" w:fill="CFF0FC"/>
          </w:tcPr>
          <w:p>
            <w:pPr>
              <w:spacing w:after="0"/>
              <w:rPr>
                <w:sz w:val="17"/>
                <w:szCs w:val="17"/>
                <w:color w:val="auto"/>
              </w:rPr>
            </w:pPr>
          </w:p>
        </w:tc>
      </w:tr>
      <w:tr>
        <w:trPr>
          <w:trHeight w:val="203"/>
        </w:trPr>
        <w:tc>
          <w:tcPr>
            <w:tcW w:w="7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Accretion on marketable securities</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(257)</w:t>
            </w:r>
          </w:p>
        </w:tc>
      </w:tr>
      <w:tr>
        <w:trPr>
          <w:trHeight w:val="203"/>
        </w:trPr>
        <w:tc>
          <w:tcPr>
            <w:tcW w:w="7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Non-cash lease expense</w:t>
            </w:r>
          </w:p>
        </w:tc>
        <w:tc>
          <w:tcPr>
            <w:tcW w:w="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120" w:type="dxa"/>
            <w:vAlign w:val="bottom"/>
            <w:shd w:val="clear" w:color="auto" w:fill="CFF0FC"/>
          </w:tcPr>
          <w:p>
            <w:pPr>
              <w:spacing w:after="0"/>
              <w:rPr>
                <w:sz w:val="17"/>
                <w:szCs w:val="17"/>
                <w:color w:val="auto"/>
              </w:rPr>
            </w:pPr>
          </w:p>
        </w:tc>
      </w:tr>
      <w:tr>
        <w:trPr>
          <w:trHeight w:val="203"/>
        </w:trPr>
        <w:tc>
          <w:tcPr>
            <w:tcW w:w="7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Amortization of financing lease right-of-use assets</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7"/>
                <w:szCs w:val="17"/>
                <w:color w:val="auto"/>
              </w:rPr>
            </w:pPr>
          </w:p>
        </w:tc>
      </w:tr>
      <w:tr>
        <w:trPr>
          <w:trHeight w:val="202"/>
        </w:trPr>
        <w:tc>
          <w:tcPr>
            <w:tcW w:w="7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Acquired in-process research and development from the acquisition of Faeth Therapeutics</w:t>
            </w:r>
          </w:p>
        </w:tc>
        <w:tc>
          <w:tcPr>
            <w:tcW w:w="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132,957</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Gain on asset disposal</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w:t>
            </w:r>
          </w:p>
        </w:tc>
      </w:tr>
      <w:tr>
        <w:trPr>
          <w:trHeight w:val="203"/>
        </w:trPr>
        <w:tc>
          <w:tcPr>
            <w:tcW w:w="7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77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Prepaid expenses</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(438)</w:t>
            </w:r>
          </w:p>
        </w:tc>
      </w:tr>
      <w:tr>
        <w:trPr>
          <w:trHeight w:val="203"/>
        </w:trPr>
        <w:tc>
          <w:tcPr>
            <w:tcW w:w="77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Other assets</w:t>
            </w:r>
          </w:p>
        </w:tc>
        <w:tc>
          <w:tcPr>
            <w:tcW w:w="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shd w:val="clear" w:color="auto" w:fill="CFF0FC"/>
          </w:tcPr>
          <w:p>
            <w:pPr>
              <w:spacing w:after="0"/>
              <w:rPr>
                <w:sz w:val="17"/>
                <w:szCs w:val="17"/>
                <w:color w:val="auto"/>
              </w:rPr>
            </w:pPr>
          </w:p>
        </w:tc>
      </w:tr>
      <w:tr>
        <w:trPr>
          <w:trHeight w:val="203"/>
        </w:trPr>
        <w:tc>
          <w:tcPr>
            <w:tcW w:w="77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w:t>
            </w:r>
          </w:p>
        </w:tc>
        <w:tc>
          <w:tcPr>
            <w:tcW w:w="120" w:type="dxa"/>
            <w:vAlign w:val="bottom"/>
          </w:tcPr>
          <w:p>
            <w:pPr>
              <w:spacing w:after="0"/>
              <w:rPr>
                <w:sz w:val="17"/>
                <w:szCs w:val="17"/>
                <w:color w:val="auto"/>
              </w:rPr>
            </w:pPr>
          </w:p>
        </w:tc>
      </w:tr>
      <w:tr>
        <w:trPr>
          <w:trHeight w:val="203"/>
        </w:trPr>
        <w:tc>
          <w:tcPr>
            <w:tcW w:w="77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Compensation and employee benefits</w:t>
            </w:r>
          </w:p>
        </w:tc>
        <w:tc>
          <w:tcPr>
            <w:tcW w:w="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2,645</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(1,163)</w:t>
            </w:r>
          </w:p>
        </w:tc>
      </w:tr>
      <w:tr>
        <w:trPr>
          <w:trHeight w:val="203"/>
        </w:trPr>
        <w:tc>
          <w:tcPr>
            <w:tcW w:w="77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(407)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(424)</w:t>
            </w:r>
          </w:p>
        </w:tc>
      </w:tr>
      <w:tr>
        <w:trPr>
          <w:trHeight w:val="196"/>
        </w:trPr>
        <w:tc>
          <w:tcPr>
            <w:tcW w:w="7760" w:type="dxa"/>
            <w:vAlign w:val="bottom"/>
            <w:tcBorders>
              <w:top w:val="single" w:sz="8" w:color="CFF0FC"/>
              <w:bottom w:val="single" w:sz="8" w:color="CFF0FC"/>
            </w:tcBorders>
            <w:shd w:val="clear" w:color="auto" w:fill="CFF0FC"/>
          </w:tcPr>
          <w:p>
            <w:pPr>
              <w:ind w:left="70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34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(10,733)</w:t>
            </w:r>
          </w:p>
        </w:tc>
        <w:tc>
          <w:tcPr>
            <w:tcW w:w="18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(7,094)</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196"/>
        </w:trPr>
        <w:tc>
          <w:tcPr>
            <w:tcW w:w="7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Purchases of short-term investments</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(43,894)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(6,349)</w:t>
            </w:r>
          </w:p>
        </w:tc>
      </w:tr>
      <w:tr>
        <w:trPr>
          <w:trHeight w:val="203"/>
        </w:trPr>
        <w:tc>
          <w:tcPr>
            <w:tcW w:w="7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Maturities of short-term investments</w:t>
            </w:r>
          </w:p>
        </w:tc>
        <w:tc>
          <w:tcPr>
            <w:tcW w:w="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13,500</w:t>
            </w:r>
          </w:p>
        </w:tc>
        <w:tc>
          <w:tcPr>
            <w:tcW w:w="120" w:type="dxa"/>
            <w:vAlign w:val="bottom"/>
            <w:shd w:val="clear" w:color="auto" w:fill="CFF0FC"/>
          </w:tcPr>
          <w:p>
            <w:pPr>
              <w:spacing w:after="0"/>
              <w:rPr>
                <w:sz w:val="17"/>
                <w:szCs w:val="17"/>
                <w:color w:val="auto"/>
              </w:rPr>
            </w:pPr>
          </w:p>
        </w:tc>
      </w:tr>
      <w:tr>
        <w:trPr>
          <w:trHeight w:val="202"/>
        </w:trPr>
        <w:tc>
          <w:tcPr>
            <w:tcW w:w="7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Pr>
          <w:p>
            <w:pPr>
              <w:spacing w:after="0"/>
              <w:rPr>
                <w:sz w:val="17"/>
                <w:szCs w:val="17"/>
                <w:color w:val="auto"/>
              </w:rPr>
            </w:pPr>
          </w:p>
        </w:tc>
      </w:tr>
      <w:tr>
        <w:trPr>
          <w:trHeight w:val="203"/>
        </w:trPr>
        <w:tc>
          <w:tcPr>
            <w:tcW w:w="77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Net cash assumed in the acquisition of Faeth Therapeutics</w:t>
            </w:r>
          </w:p>
        </w:tc>
        <w:tc>
          <w:tcPr>
            <w:tcW w:w="3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6,464</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776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(31,436)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7,191</w:t>
            </w:r>
          </w:p>
        </w:tc>
        <w:tc>
          <w:tcPr>
            <w:tcW w:w="120" w:type="dxa"/>
            <w:vAlign w:val="bottom"/>
          </w:tcPr>
          <w:p>
            <w:pPr>
              <w:spacing w:after="0"/>
              <w:rPr>
                <w:sz w:val="17"/>
                <w:szCs w:val="17"/>
                <w:color w:val="auto"/>
              </w:rPr>
            </w:pPr>
          </w:p>
        </w:tc>
      </w:tr>
      <w:tr>
        <w:trPr>
          <w:trHeight w:val="196"/>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7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Principal payments for financing leases</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(211)</w:t>
            </w:r>
          </w:p>
        </w:tc>
      </w:tr>
      <w:tr>
        <w:trPr>
          <w:trHeight w:val="203"/>
        </w:trPr>
        <w:tc>
          <w:tcPr>
            <w:tcW w:w="7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Proceeds from issuance of Series B redeemable convertible preferred stock</w:t>
            </w:r>
          </w:p>
        </w:tc>
        <w:tc>
          <w:tcPr>
            <w:tcW w:w="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Issuance costs from the private placement issuance of Series B redeemable convertible preferred stock</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(15,145)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Payment of employee restricted stock tax withholdings</w:t>
            </w:r>
          </w:p>
        </w:tc>
        <w:tc>
          <w:tcPr>
            <w:tcW w:w="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w:t>
            </w:r>
          </w:p>
        </w:tc>
      </w:tr>
      <w:tr>
        <w:trPr>
          <w:trHeight w:val="203"/>
        </w:trPr>
        <w:tc>
          <w:tcPr>
            <w:tcW w:w="7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Exercise of options into common stock</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77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34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185,826</w:t>
            </w:r>
          </w:p>
        </w:tc>
        <w:tc>
          <w:tcPr>
            <w:tcW w:w="18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196"/>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143,657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(117)</w:t>
            </w:r>
          </w:p>
        </w:tc>
      </w:tr>
      <w:tr>
        <w:trPr>
          <w:trHeight w:val="202"/>
        </w:trPr>
        <w:tc>
          <w:tcPr>
            <w:tcW w:w="7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3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8,668</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9,994</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at the end of period</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152,325</w:t>
            </w:r>
          </w:p>
        </w:tc>
        <w:tc>
          <w:tcPr>
            <w:tcW w:w="180" w:type="dxa"/>
            <w:vAlign w:val="bottom"/>
          </w:tcPr>
          <w:p>
            <w:pPr>
              <w:spacing w:after="0"/>
              <w:rPr>
                <w:sz w:val="17"/>
                <w:szCs w:val="17"/>
                <w:color w:val="auto"/>
              </w:rPr>
            </w:pP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9,877</w:t>
            </w:r>
          </w:p>
        </w:tc>
        <w:tc>
          <w:tcPr>
            <w:tcW w:w="120" w:type="dxa"/>
            <w:vAlign w:val="bottom"/>
          </w:tcPr>
          <w:p>
            <w:pPr>
              <w:spacing w:after="0"/>
              <w:rPr>
                <w:sz w:val="17"/>
                <w:szCs w:val="17"/>
                <w:color w:val="auto"/>
              </w:rPr>
            </w:pPr>
          </w:p>
        </w:tc>
      </w:tr>
      <w:tr>
        <w:trPr>
          <w:trHeight w:val="20"/>
        </w:trPr>
        <w:tc>
          <w:tcPr>
            <w:tcW w:w="7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7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3"/>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noncash financing information:</w:t>
            </w:r>
          </w:p>
        </w:tc>
        <w:tc>
          <w:tcPr>
            <w:tcW w:w="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7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Asset disposals included in other assets</w:t>
            </w: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(353)</w:t>
            </w: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Fair value of Series B redeemable convertible preferred stock issued for the acquisition of Faeth Therapeutics</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145,384</w:t>
            </w:r>
          </w:p>
        </w:tc>
        <w:tc>
          <w:tcPr>
            <w:tcW w:w="180" w:type="dxa"/>
            <w:vAlign w:val="bottom"/>
          </w:tcPr>
          <w:p>
            <w:pPr>
              <w:spacing w:after="0"/>
              <w:rPr>
                <w:sz w:val="17"/>
                <w:szCs w:val="17"/>
                <w:color w:val="auto"/>
              </w:rPr>
            </w:pP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assets acquired in the acquisition of Faeth Therapeutics</w:t>
            </w: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12,879</w:t>
            </w:r>
          </w:p>
        </w:tc>
        <w:tc>
          <w:tcPr>
            <w:tcW w:w="18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Issuance costs from the private placement issuance of Series B redeemable convertible preferred stock included in</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3"/>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1,763</w:t>
            </w:r>
          </w:p>
        </w:tc>
        <w:tc>
          <w:tcPr>
            <w:tcW w:w="18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Transactions costs for the acquisition of Faeth Therapeutics in accounts payable and accrued liabilities</w:t>
            </w: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3,713</w:t>
            </w:r>
          </w:p>
        </w:tc>
        <w:tc>
          <w:tcPr>
            <w:tcW w:w="18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5941695</wp:posOffset>
            </wp:positionH>
            <wp:positionV relativeFrom="paragraph">
              <wp:posOffset>-3569970</wp:posOffset>
            </wp:positionV>
            <wp:extent cx="9398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-3569970</wp:posOffset>
            </wp:positionV>
            <wp:extent cx="10287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-2639695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-2639695</wp:posOffset>
            </wp:positionV>
            <wp:extent cx="774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5941695</wp:posOffset>
            </wp:positionH>
            <wp:positionV relativeFrom="paragraph">
              <wp:posOffset>-1734820</wp:posOffset>
            </wp:positionV>
            <wp:extent cx="9398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-1734820</wp:posOffset>
            </wp:positionV>
            <wp:extent cx="10287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-1319530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-1319530</wp:posOffset>
            </wp:positionV>
            <wp:extent cx="7747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3"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SENSEI BIOTHERAPEUTICS,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260" w:right="7940" w:hanging="252"/>
        <w:spacing w:after="0" w:line="378" w:lineRule="auto"/>
        <w:tabs>
          <w:tab w:leader="none" w:pos="187"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ORGANIZATION AND OPERATIONS </w:t>
      </w:r>
      <w:r>
        <w:rPr>
          <w:rFonts w:ascii="Times New Roman" w:cs="Times New Roman" w:eastAsia="Times New Roman" w:hAnsi="Times New Roman"/>
          <w:sz w:val="18"/>
          <w:szCs w:val="18"/>
          <w:b w:val="1"/>
          <w:bCs w:val="1"/>
          <w:i w:val="1"/>
          <w:iCs w:val="1"/>
          <w:color w:val="auto"/>
        </w:rPr>
        <w:t>Business</w:t>
      </w: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Sensei Biotherapeutics, Inc. (the “Company” or “Sensei”), a clinical-stage biotechnology company, was incorporated in 1999 as a Maryland corporation until being incorporated in Delaware on December 1, 2017. The Company is focused on improving outcomes for cancer patients through multi-node inhibition of critical oncogenic pathways. On February 17, 2026, Sensei acquired Faeth Holdings Therapeutics, Inc. (“Faeth HoldCo”) and its wholly owned subsidiary Faeth Therapeutics, LLC (“Faeth Subsidiary” and, together with Faeth HoldCo, “Faeth Therapeutics” or “Faeth”) pursuant to an Agreement and Plan of Merger (the “Merger Agreement”), dated as of February 17, 2026, by and among the Company, its merger subsidiaries, Faeth HoldCo and Faeth Subsidiary (such transaction, the “Acquisition”).</w:t>
      </w:r>
    </w:p>
    <w:p>
      <w:pPr>
        <w:spacing w:after="0" w:line="2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Since its inception, the Company has devoted substantially all of its resources to advancing development of its portfolio of programs, establishing and protecting its intellectual property, conducting research and development activities, organizing and staffing the Company, business planning, raising capital and providing general and administrative support for these operations. The Company is subject to risks and uncertainties common to early-stage companies in the biotechnology industry including, but not limited to, technical risks associated with the successful research, development and manufacturing of product candidates, development by competitors of new technological innovations, dependence on key personnel, protection of proprietary technology, compliance with government regulations and the ability to secure additional capital to fund operations. Current and future programs will require significant research and development efforts, including extensive preclinical and clinical testing and regulatory approval prior to commercialization. These efforts require significant amounts of additional capital, adequate personnel and infrastructure. Even if the Company’s drug development efforts are successful, it is uncertain when, if ever, the Company will realize significant revenue from product sales.</w:t>
      </w:r>
    </w:p>
    <w:p>
      <w:pPr>
        <w:spacing w:after="0" w:line="80"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Since its inception, the Company has incurred substantial losses and had a net loss of $170.2 million for the three months ended March 31, 2026. As of March 31, 2026, the Company had an accumulated deficit of $453.4 million. The Company expects to generate operating losses and negative operating cash flows for the foreseeable future.</w:t>
      </w:r>
    </w:p>
    <w:p>
      <w:pPr>
        <w:spacing w:after="0" w:line="6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Company will need additional financing to support its continuing operations and pursue its current strategy. Until such time as the Company can generate significant revenue from product sales, if ever, it expects to finance its operations through a combination of equity offerings, debt financings, collaborations, strategic alliances and licensing arrangements. The Company may be unable to raise additional funds or enter into such other agreements when needed on favorable terms or at all. The inability to raise capital as and when needed would have a negative impact on the Company’s financial condition and its ability to pursue its business strategy. The Company will need to generate significant revenue to achieve profitability, and it may never do so.</w:t>
      </w:r>
    </w:p>
    <w:p>
      <w:pPr>
        <w:spacing w:after="0" w:line="79" w:lineRule="exact"/>
        <w:rPr>
          <w:sz w:val="20"/>
          <w:szCs w:val="20"/>
          <w:color w:val="auto"/>
        </w:rPr>
      </w:pPr>
    </w:p>
    <w:p>
      <w:pPr>
        <w:jc w:val="both"/>
        <w:ind w:right="580" w:firstLine="509"/>
        <w:spacing w:after="0" w:line="266" w:lineRule="auto"/>
        <w:rPr>
          <w:sz w:val="20"/>
          <w:szCs w:val="20"/>
          <w:color w:val="auto"/>
        </w:rPr>
      </w:pPr>
      <w:r>
        <w:rPr>
          <w:rFonts w:ascii="Times New Roman" w:cs="Times New Roman" w:eastAsia="Times New Roman" w:hAnsi="Times New Roman"/>
          <w:sz w:val="18"/>
          <w:szCs w:val="18"/>
          <w:color w:val="auto"/>
        </w:rPr>
        <w:t>As of March 31, 2026, the Company had $202.8 million of cash, cash equivalents and marketable securities. In February 2026, the Company completed a private placement financing through the sale of Series B Non-Voting Redeemable Convertible Preferred Stock (the "Series B Preferred Stock"), resulting in gross proceeds of $200 million.</w:t>
      </w:r>
    </w:p>
    <w:p>
      <w:pPr>
        <w:spacing w:after="0" w:line="6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Series B Preferred Stock is subject to automatic conversion into Common Stock upon the third business day following the Company’s receipt of stockholder approval in accordance with Nasdaq listing rules. The Certificate of Designation of Preferences, Rights and Limitations of the Series B Non-Voting Convertible Preferred Stock (the “Certificate of Designation”) provides that, at any time following the earlier of (i) stockholder approval or (ii) six months after the initial issuance of the Series B Preferred Stock, if the Company fails to timely deliver shares of Common Stock to a converting holder in accordance with the terms of the Certificate of Designation, such holder may require the Company to pay cash in an amount equal to the fair value of the undelivered shares.</w:t>
      </w:r>
    </w:p>
    <w:p>
      <w:pPr>
        <w:spacing w:after="0" w:line="7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Company’s ability to satisfy these potential cash settlement obligations is not entirely within its control, as it is contingent on, among other things, the Company’s ability to obtain stockholder approval and to deliver shares of Common Stock upon conversion within the timeframes required by the Certificate of Designation. If the Company is unable to obtain stockholder approval in a timely manner, or is otherwise unable to timely deliver shares of Common Stock upon conversion, holders who submit conversion notices after the applicable trigger date could require the Company to make significant cash payments that could substantially reduce the Company’s available cash resources.</w:t>
      </w:r>
    </w:p>
    <w:p>
      <w:pPr>
        <w:spacing w:after="0" w:line="75"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After evaluating the conditions described above in the aggregate, the Company has concluded that there is substantial doubt about its ability to continue as a going concern. The accompanying consolidated financial statements have been prepared on the basis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ind w:right="240"/>
        <w:spacing w:after="0" w:line="261" w:lineRule="auto"/>
        <w:rPr>
          <w:sz w:val="20"/>
          <w:szCs w:val="20"/>
          <w:color w:val="auto"/>
        </w:rPr>
      </w:pPr>
      <w:r>
        <w:rPr>
          <w:rFonts w:ascii="Times New Roman" w:cs="Times New Roman" w:eastAsia="Times New Roman" w:hAnsi="Times New Roman"/>
          <w:sz w:val="18"/>
          <w:szCs w:val="18"/>
          <w:color w:val="auto"/>
        </w:rPr>
        <w:t>that the Company will continue to operate as a going concern within the twelve months after the date that these condensed consolidated financial statements are issued, which contemplates it will be able to realize assets and settle liabilities and commitments in the normal course of business for the foreseeable future. Accordingly, the accompanying condensed consolidated financial statements do not include any adjustments that may result from the outcome of these uncertainties.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June 16, 2025, at 5:00 p.m. Eastern Time, the Company effected a 1-for-20 reverse stock split of the Company’s issued and outstanding shares of common stock (the "Reverse Stock Split") and a corresponding reduction in the total number of authorized shares of its common stock from 250,000,000 shares to 12,500,000 shares, as authorized at the Company’s 2025 annual meeting of stockholders held on May 21, 2025 and approved by the Company’s board of directors on June 3, 2025. As a result of the Reverse Stock Split, every 20 shares of issued and outstanding common stock were automatically combined into one issued and outstanding share of common stock, without any change in the par value of $0.0001 per share. No fractional shares were issued as a result of the Reverse Stock Split. Stockholders entitled to a fractional share received a cash payment based on the average closing sales price of the Company’s common stock on The Nasdaq Stock Market for the five trading days immediately preceding the filing date of the Certificate of Amendment. All historical share and per share amounts reflected throughout the financial statements have been adjusted to reflect the Reverse Stock Split. Proportionate adjustments were made to the per share exercise price and the number of shares of common stock that may be purchased upon exercise of outstanding stock options and warrants, the number of shares of common stock reserved for future issuance under the 2021 Equity Incentive Plan (the “2021 Plan”) and the 2021 Employee Stock Purchase Plan (the “2021 ESPP”).</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60" w:right="6360" w:hanging="252"/>
        <w:spacing w:after="0" w:line="400" w:lineRule="auto"/>
        <w:tabs>
          <w:tab w:leader="none" w:pos="187"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b w:val="1"/>
          <w:bCs w:val="1"/>
          <w:i w:val="1"/>
          <w:iCs w:val="1"/>
          <w:color w:val="auto"/>
        </w:rPr>
        <w:t>Basis of Presentation and Principles of Consolidation</w:t>
      </w: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Company has prepared the accompanying condensed consolidated financial statements in conformity with generally accepted accounting principles in the United States (“US GAAP”). The condensed consolidated financial statements include those accounts of the Company and its subsidiaries after elimination of all intercompany accounts and transactions. Certain reclassifications have been made to amounts presented in our condensed consolidated statements of operations and comprehensive loss for the period ended March 31, 2025 to conform to the presentation for the period ended March 31, 2026.</w:t>
      </w:r>
    </w:p>
    <w:p>
      <w:pPr>
        <w:spacing w:after="0" w:line="2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condensed consolidated financial statements of the Company included herein have been prepared pursuant to the rules and regulations of the Securities and Exchange Commission (“SEC”). The accompanying condensed consolidated financial statements reflect all adjustments, consisting of normal, recurring adjustments, that are necessary for a fair presentation of the financial position, results of operations, statement of stockholders’ equity, and cash flows for the interim periods presented. Certain information and note disclosures normally included in financial statements prepared in accordance with US GAAP have been condensed or omitted from these condensed consolidated financial statements, as is permitted by such rules and regulations. Accordingly, these condensed consolidated financial statements should be read in conjunction with the financial statements and notes thereto included in the Company’s Annual Report on Form 10-K for the year ended December 31, 2025. The results for any interim period are not necessarily indicative of results for any future period.</w:t>
      </w:r>
    </w:p>
    <w:p>
      <w:pPr>
        <w:spacing w:after="0" w:line="2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management to make estimates and assumptions that affect the reported amounts of assets and liabilities, disclosure of contingent assets and liabilities at the date of the condensed consolidated financial statements, and the reported amounts of expenses during the reporting periods presented. Estimates are used for, but are not limited to, stock-based compensation, accrued research and development expenses, depreciation of equipment, fair value of financial instruments, the Company’s ability to continue as a going concern, contingencies, and the valuation of consideration transferred in the acquisition of Faeth Therapeutics. Actual results may differ from those estimates.</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Cash equivalents are highly liquid investments with an original maturity of 90 days or less at the date of purchase and consist of time deposits, commercial paper, corporate bonds, and investments in money market funds with commercial banks and financial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institutions. As of March 31, 2026, cash and cash equivalents included cash on deposit at commercial banks, a money market fund that invests in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 securities, commercial paper issued by highly rated corporate issuers, and short-term corporate bonds.</w:t>
      </w:r>
    </w:p>
    <w:p>
      <w:pPr>
        <w:spacing w:after="0" w:line="3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Investments consist of marketable securities with original maturities greater than 90 days at the date of purchase. The Company has classified its investments with maturities beyond one year as short-term, based on their highly liquid nature and because such marketable securities represent the investment of cash that is available for current operations. The Company considers its investment portfolio of marketable securities to be available-for-sale. Accordingly, these investments are recorded at fair value (Level 2). Unrealized gains and losses are reported as the accumulated other comprehensive items in stockholders’ equity. Amortization and accretion of premiums and discounts are recorded in other income (expense). Realized gains or losses on debt securities are included in interest income or interest expense, respectively. If any adjustment to fair value reflects a decline in value of the investment, the Company considers all available evidence to evaluate the extent to which the decline is other than temporary and, if so, marks the investment to market on the Company’s statement of operations and comprehensive loss.</w:t>
      </w:r>
    </w:p>
    <w:p>
      <w:pPr>
        <w:spacing w:after="0" w:line="2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Property and equipment are recorded at cost and depreciated or amortized over the estimated useful lives of the assets. Repairs or maintenance costs are expensed as incurred. Depreciation is computed using the straight-line method over the following estimated useful lives:</w:t>
      </w:r>
    </w:p>
    <w:p>
      <w:pPr>
        <w:sectPr>
          <w:pgSz w:w="11900" w:h="16838" w:orient="portrait"/>
          <w:cols w:equalWidth="0" w:num="1">
            <w:col w:w="11240"/>
          </w:cols>
          <w:pgMar w:left="320" w:top="1093" w:right="339" w:bottom="1440" w:gutter="0" w:footer="0" w:header="0"/>
        </w:sectPr>
      </w:pP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equipment and furniture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equipment</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3—7 years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1—7 years</w:t>
      </w:r>
    </w:p>
    <w:p>
      <w:pPr>
        <w:spacing w:after="0" w:line="110" w:lineRule="exact"/>
        <w:rPr>
          <w:sz w:val="20"/>
          <w:szCs w:val="20"/>
          <w:color w:val="auto"/>
        </w:rPr>
      </w:pPr>
    </w:p>
    <w:p>
      <w:pPr>
        <w:sectPr>
          <w:pgSz w:w="11900" w:h="16838" w:orient="portrait"/>
          <w:cols w:equalWidth="0" w:num="2">
            <w:col w:w="4900" w:space="720"/>
            <w:col w:w="5620"/>
          </w:cols>
          <w:pgMar w:left="320" w:top="1093" w:right="33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8"/>
          <w:szCs w:val="18"/>
          <w:color w:val="auto"/>
        </w:rPr>
        <w:t>Leasehold improvements are depreciated over the shorter of their useful life or the life of the lease.</w:t>
      </w: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Acquired In-Process Research and Development Expense</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Company accounts for acquisitions of assets or a group of assets that do not meet the definition of a business as asset acquisitions based on the cost to acquire the asset or group of assets, which include certain transaction costs. In an asset acquisition, the cost to acquire is allocated to the identifiable assets acquired and liabilities assumed based on their relative fair values as of the acquisition date. No goodwill is recorded in an asset acquisition. Assets that are acquired in an asset acquisition for use in research and development activities that have an alternative future use are capitalized as in process research and development (“IPR&amp;D”). Acquired IPR&amp;D that has no alternative future use as of the acquisition date is recognized as research and development expense as of the acquisition date.</w:t>
      </w:r>
    </w:p>
    <w:p>
      <w:pPr>
        <w:spacing w:after="0" w:line="1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Redeemable Convertible Preferred Stock</w:t>
      </w:r>
    </w:p>
    <w:p>
      <w:pPr>
        <w:spacing w:after="0" w:line="175"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Company has classified its redeemable convertible preferred stock as temporary equity in the accompanying balance sheets due to redemption provisions that are outside of the control of the Company. Subsequent adjustments of the carrying values to the redemption values will be made only when it becomes probable that such a change in control event will occur. The Company did not accrete the carrying values of the redeemable convertible preferred stock to the redemption values as redemption is contingent on shareholder approval which is outside of the control of the Company.</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 Warrants</w:t>
      </w:r>
    </w:p>
    <w:p>
      <w:pPr>
        <w:spacing w:after="0" w:line="17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accounts for its redeemable convertible preferred shares warrants issued in connection with its various financing transactions based upon the characteristics and provisions of the instrument. Warrants that have been determined to be classified as liabilities are recorded on the balance sheet as a long term liability at their fair value on the date of issuance and remeasured to fair value at each reporting period, with the changes in fair value recognized in the change in fair value of warrant liabilities, net in the statements of operations and comprehensive loss. The Company adjusted the liability for changes in the fair value of these warrants until the earlier of the exercise of the warrants, the expiration of the warrants, or until such time as the warrants are no longer considered a liability.</w:t>
      </w:r>
    </w:p>
    <w:p>
      <w:pPr>
        <w:spacing w:after="0" w:line="1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12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Company manages its operations as a single segment, dedicated to improving outcomes for cancer patients by developing novel therapeutics, including through multi-node inhibition of critical oncogenic pathways. The Company’s Chief Operating Decision Maker (“CODM”), the President, reviews the operating results on an aggregate basis and manages the operations as a single operating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9" w:name="page10"/>
    <w:bookmarkEnd w:id="9"/>
    <w:p>
      <w:pPr>
        <w:ind w:right="40"/>
        <w:spacing w:after="0" w:line="255" w:lineRule="auto"/>
        <w:rPr>
          <w:sz w:val="20"/>
          <w:szCs w:val="20"/>
          <w:color w:val="auto"/>
        </w:rPr>
      </w:pPr>
      <w:r>
        <w:rPr>
          <w:rFonts w:ascii="Times New Roman" w:cs="Times New Roman" w:eastAsia="Times New Roman" w:hAnsi="Times New Roman"/>
          <w:sz w:val="18"/>
          <w:szCs w:val="18"/>
          <w:color w:val="auto"/>
        </w:rPr>
        <w:t>segment. The CODM oversees performance assessment and resource allocation by reviewing net loss as reported in the Company’s consolidated statement of operations to guide operational decisions, strategic planning, and forecasting for future periods. To support this oversight, operating expenses are closely tracked to compare budget against actual results. As a single reporting segment, the significant operating expense categories regularly provided to the CODM include research and development, and general and administrative expenses. These expense categories are reported as separate line items in the Company’s consolidated statements of operations. All segment assets are reflected as ‘total assets’ in the consolidated balance sheet. All equipment, leasehold improvements, and fixed assets are located in the United States, and agreements with partners are denominated in U.S. dollars, unless otherwise noted.</w:t>
      </w:r>
    </w:p>
    <w:p>
      <w:pPr>
        <w:spacing w:after="0" w:line="2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At lease inception, the Company determines if an arrangement is or contains a lease, and if so, assesses the lease for classification as either an operating or finance lease. A lease is classified as a finance lease if any one of the following criteria are met: (i) the lease transfers ownership of the asset by the end of the lease term, (ii) the lease contains an option to purchase the asset that is reasonably certain to be exercised, (iii) the lease term is for a major part of the remaining useful life of the asset, (iv) the present value of the lease payments equals or exceeds substantially all of the fair value of the asset, or (v) the leased asset is of such a specialized nature that it is expected to have no alternative use to the lessor at the end of the lease. A lease is classified as an operating lease if it does not meet any of these criteria.</w:t>
      </w:r>
    </w:p>
    <w:p>
      <w:pPr>
        <w:spacing w:after="0" w:line="79" w:lineRule="exact"/>
        <w:rPr>
          <w:sz w:val="20"/>
          <w:szCs w:val="20"/>
          <w:color w:val="auto"/>
        </w:rPr>
      </w:pPr>
    </w:p>
    <w:p>
      <w:pPr>
        <w:ind w:right="160" w:firstLine="599"/>
        <w:spacing w:after="0" w:line="254" w:lineRule="auto"/>
        <w:rPr>
          <w:sz w:val="20"/>
          <w:szCs w:val="20"/>
          <w:color w:val="auto"/>
        </w:rPr>
      </w:pPr>
      <w:r>
        <w:rPr>
          <w:rFonts w:ascii="Times New Roman" w:cs="Times New Roman" w:eastAsia="Times New Roman" w:hAnsi="Times New Roman"/>
          <w:sz w:val="18"/>
          <w:szCs w:val="18"/>
          <w:color w:val="auto"/>
        </w:rPr>
        <w:t>Leases with a term greater than one year are recognized on the balance sheet as right-of-use (“ROU”) assets and current and non-current lease liabilities, as applicable. Leases with a term of one year or less are expensed as rent in the period incurred. The Company elected not to separate lease and non-lease components for all underlying assets. As most of the Company’s leases do not provide an implicit rate, the Company uses its incremental borrowing rate based on the information available at the commencement date in determining the present value of lease payments. The incremental borrowing rate is determined by using the rate of interest that the Company would pay to borrow on a collateralized basis an amount equal to the lease payments for a similar term and in a similar economic environment. Lease terms include options to extend or terminate the lease when it is reasonably certain that the Company will exercise the options. For leases that existed prior to the adoption of Accounting Standards Update No. 2016-02, Leases (Topic 842) (“ASC 842”), the Company used the remaining lease term to determine the appropriate incremental borrowing rate.</w:t>
      </w:r>
    </w:p>
    <w:p>
      <w:pPr>
        <w:spacing w:after="0" w:line="2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1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Financial Accounting Standards Board (“FASB”) issued ASU 2024-03, </w:t>
      </w:r>
      <w:r>
        <w:rPr>
          <w:rFonts w:ascii="Times New Roman" w:cs="Times New Roman" w:eastAsia="Times New Roman" w:hAnsi="Times New Roman"/>
          <w:sz w:val="18"/>
          <w:szCs w:val="18"/>
          <w:i w:val="1"/>
          <w:iCs w:val="1"/>
          <w:color w:val="auto"/>
        </w:rPr>
        <w:t>Income Statement - Reporting Comprehensive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Income - Expense Disaggregation Disclosures (Subtopic 220-40): Disaggregation of Income Statement Expenses. </w:t>
      </w:r>
      <w:r>
        <w:rPr>
          <w:rFonts w:ascii="Times New Roman" w:cs="Times New Roman" w:eastAsia="Times New Roman" w:hAnsi="Times New Roman"/>
          <w:sz w:val="18"/>
          <w:szCs w:val="18"/>
          <w:color w:val="auto"/>
        </w:rPr>
        <w:t>The standard is intended to require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detailed disclosures about specified categories of expenses (including employee compensation, depreciation, and amortization) included in certain expense captions presented on the face of the income statement. This ASU is effective for fiscal years beginning after December 15, 2026, and for interim periods within fiscal years beginning after December 15, 2027. Early adoption is permitted. The amendments may be applied either prospectively to financial statements issued for reporting periods after the effective date of this ASU or retrospectively to all prior periods presented in the financial statements. The Company is currently assessing the impact this standard will have on its condensed consolidated financial statements.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 OF FAETH AND PIPE ISSUANCE</w:t>
      </w:r>
    </w:p>
    <w:p>
      <w:pPr>
        <w:spacing w:after="0" w:line="3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February 17, 2026, the Company acquired Faeth Therapeutics pursuant to the Merger Agreement.</w:t>
      </w:r>
    </w:p>
    <w:p>
      <w:pPr>
        <w:spacing w:after="0" w:line="171"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Under the terms of the Merger Agreement, the Company issued to the stockholders of Faeth an aggregate of 10,497.0980 shares of Series B Preferred Stock, par value $0.0001 per share, representing 10,497,098 shares of common stock of the Company, par value $0.0001 per share (“Common Stock”), on an as-converted-to-common basis and without giving effect to any beneficial ownership limitations. The outstanding warrant to purchase shares of Faeth Subsidiary capital stock was converted into a warrant to purchase an aggregate of 2.1020 shares of Series B Preferred Stock, representing a warrant to purchase 2,102 shares of Common Stock on an as-converted-to-common basis and without giving effect to any beneficial ownership limitations. In addition, all outstanding options to purchase Faeth Subsidiary common stock were assumed by the Company and were converted into options to purchase an aggregate of 252,210 shares of Common Stock (the “Assumed Options”). In connection with the Acquisition, stock options to purchase 6,338,670 shares of Faeth common stock, held by certain Faeth employees, were immediately exercised by the Faeth employees, of which 4,273,182 options had their vesting accelerated. Faeth HoldCo paid $15.6 million to cover tax liabilities created by such exercise of the options.</w:t>
      </w:r>
    </w:p>
    <w:p>
      <w:pPr>
        <w:spacing w:after="0" w:line="134"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Concurrently with the acquisition of Faeth Therapeutics, on February 17, 2026, the Company entered into a Securities Purchase Agreement (the “Purchase Agreement”) with new and returning investors to raise $200.0 million of gross proceeds in which investors were issued an aggregate of 14,440.395 shares of Series B Preferred Stock, or 14,440,395 on an as-converted-to-common basis (without</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 w:name="page11"/>
    <w:bookmarkEnd w:id="10"/>
    <w:p>
      <w:pPr>
        <w:jc w:val="both"/>
        <w:spacing w:after="0" w:line="282" w:lineRule="auto"/>
        <w:rPr>
          <w:sz w:val="20"/>
          <w:szCs w:val="20"/>
          <w:color w:val="auto"/>
        </w:rPr>
      </w:pPr>
      <w:r>
        <w:rPr>
          <w:rFonts w:ascii="Times New Roman" w:cs="Times New Roman" w:eastAsia="Times New Roman" w:hAnsi="Times New Roman"/>
          <w:sz w:val="18"/>
          <w:szCs w:val="18"/>
          <w:color w:val="auto"/>
        </w:rPr>
        <w:t>giving effect to any beneficial ownership limitations) at a price of $13,850 per share, or $13.85 per share on an as-converted-to-common basis, (collectively, the “2026 Private Placement”). The 2026 Private Placement closed on February 20, 2026.</w:t>
      </w:r>
    </w:p>
    <w:p>
      <w:pPr>
        <w:spacing w:after="0" w:line="108"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Subject to the receipt of stockholder approval of the Company Stockholder Matters (as defined in the Merger Agreement as the “Parent Stockholder Matters”), each share of Series B Preferred Stock will automatically convert into 1,000 shares of Common Stock, subject to certain beneficial ownership limitations established by each holder. As a result of the transactions, equityholders of the Company immediately prior to the acquisition owned approximately 4.9% of the Common Stock, equityholders of Faeth Therapeutics immediately prior to the acquisition owned approximately 40.6% of the Common Stock and investors in the 2026 Private Placement owned approximately 54.5% of the Common Stock, in each case, calculated on a fully-diluted, as-converted-to-common basis (and without giving effect to any beneficial ownership limitations) using the treasury stock method and based on the implied equity values of the Company and Faeth Therapeutics.</w:t>
      </w:r>
    </w:p>
    <w:p>
      <w:pPr>
        <w:spacing w:after="0" w:line="13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Acquisition was accounted for as an asset acquisition with the Company as the accounting acquirer. Upon completion of the Acquisition and the 2026 Private Placement, the Company obtained control of Faeth’s assets, consisting primarily of cash, prepayments of tax gross-up payments related to the accelerated vesting of options held by Faeth employees prior to the Acquisition, and acquired IPR&amp;D. In accordance with Accounting Standards Codification Topic 805, Business Combinations (“ASC 805”), under the asset acquisition method of accounting, the assets acquired and liabilities assumed are recognized and measured at fair value and no goodwill is recorded or recognized. Acquired IPR&amp;D that has no future alternative use is expensed at the time of acquisition.</w:t>
      </w:r>
    </w:p>
    <w:p>
      <w:pPr>
        <w:spacing w:after="0" w:line="1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estimated fair value of the consideration transferred of $145.8 million is summarized as follows (in thousands):</w:t>
      </w:r>
    </w:p>
    <w:p>
      <w:pPr>
        <w:spacing w:after="0" w:line="189" w:lineRule="exact"/>
        <w:rPr>
          <w:sz w:val="20"/>
          <w:szCs w:val="20"/>
          <w:color w:val="auto"/>
        </w:rPr>
      </w:pPr>
    </w:p>
    <w:tbl>
      <w:tblPr>
        <w:tblLayout w:type="fixed"/>
        <w:tblInd w:w="2660" w:type="dxa"/>
        <w:tblCellMar>
          <w:top w:w="0" w:type="dxa"/>
          <w:left w:w="0" w:type="dxa"/>
          <w:bottom w:w="0" w:type="dxa"/>
          <w:right w:w="0" w:type="dxa"/>
        </w:tblCellMar>
      </w:tblP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Assumed Options</w:t>
            </w:r>
          </w:p>
        </w:tc>
        <w:tc>
          <w:tcPr>
            <w:tcW w:w="5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80" w:type="dxa"/>
            <w:vAlign w:val="bottom"/>
            <w:shd w:val="clear" w:color="auto" w:fill="CFF0FC"/>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Series B Preferred Stock</w:t>
            </w:r>
          </w:p>
        </w:tc>
        <w:tc>
          <w:tcPr>
            <w:tcW w:w="5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145,384</w:t>
            </w:r>
          </w:p>
        </w:tc>
        <w:tc>
          <w:tcPr>
            <w:tcW w:w="80" w:type="dxa"/>
            <w:vAlign w:val="bottom"/>
          </w:tcPr>
          <w:p>
            <w:pPr>
              <w:spacing w:after="0"/>
              <w:rPr>
                <w:sz w:val="18"/>
                <w:szCs w:val="18"/>
                <w:color w:val="auto"/>
              </w:rPr>
            </w:pPr>
          </w:p>
        </w:tc>
      </w:tr>
      <w:tr>
        <w:trPr>
          <w:trHeight w:val="249"/>
        </w:trPr>
        <w:tc>
          <w:tcPr>
            <w:tcW w:w="4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consideration transferred</w:t>
            </w: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145,836</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-25400</wp:posOffset>
            </wp:positionV>
            <wp:extent cx="431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-7620</wp:posOffset>
            </wp:positionV>
            <wp:extent cx="431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fair value of the consideration transferred was measured using the price per share the investors paid as part of the 2026 Private Placement.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Assumed Options reflects the portion of the acquisition date fair-value based measure that relates to the pre-combination service period.</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the allocation of the estimated fair value of the consideration transferred to the net assets acquired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(in thousands):</w:t>
      </w:r>
    </w:p>
    <w:p>
      <w:pPr>
        <w:spacing w:after="0" w:line="171" w:lineRule="exact"/>
        <w:rPr>
          <w:sz w:val="20"/>
          <w:szCs w:val="20"/>
          <w:color w:val="auto"/>
        </w:rPr>
      </w:pPr>
    </w:p>
    <w:tbl>
      <w:tblPr>
        <w:tblLayout w:type="fixed"/>
        <w:tblInd w:w="1580" w:type="dxa"/>
        <w:tblCellMar>
          <w:top w:w="0" w:type="dxa"/>
          <w:left w:w="0" w:type="dxa"/>
          <w:bottom w:w="0" w:type="dxa"/>
          <w:right w:w="0" w:type="dxa"/>
        </w:tblCellMar>
      </w:tblPr>
      <w:tr>
        <w:trPr>
          <w:trHeight w:val="216"/>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 acquired:</w:t>
            </w:r>
          </w:p>
        </w:tc>
        <w:tc>
          <w:tcPr>
            <w:tcW w:w="7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Prepaid expenses</w:t>
            </w:r>
          </w:p>
        </w:tc>
        <w:tc>
          <w:tcPr>
            <w:tcW w:w="7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current assets</w:t>
            </w:r>
          </w:p>
        </w:tc>
        <w:tc>
          <w:tcPr>
            <w:tcW w:w="7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7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non-current assets</w:t>
            </w:r>
          </w:p>
        </w:tc>
        <w:tc>
          <w:tcPr>
            <w:tcW w:w="7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 acquired</w:t>
            </w:r>
          </w:p>
        </w:tc>
        <w:tc>
          <w:tcPr>
            <w:tcW w:w="7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18,927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assumed:</w:t>
            </w: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40" w:type="dxa"/>
            <w:vAlign w:val="bottom"/>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Accounts payable and accrued</w:t>
            </w:r>
          </w:p>
        </w:tc>
        <w:tc>
          <w:tcPr>
            <w:tcW w:w="7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liabilities</w:t>
            </w:r>
          </w:p>
        </w:tc>
        <w:tc>
          <w:tcPr>
            <w:tcW w:w="7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5,844</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94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Compensation and employee benefits</w:t>
            </w:r>
          </w:p>
        </w:tc>
        <w:tc>
          <w:tcPr>
            <w:tcW w:w="780" w:type="dxa"/>
            <w:vAlign w:val="bottom"/>
          </w:tcPr>
          <w:p>
            <w:pPr>
              <w:spacing w:after="0"/>
              <w:rPr>
                <w:sz w:val="17"/>
                <w:szCs w:val="17"/>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liabilities</w:t>
            </w:r>
          </w:p>
        </w:tc>
        <w:tc>
          <w:tcPr>
            <w:tcW w:w="7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assumed</w:t>
            </w:r>
          </w:p>
        </w:tc>
        <w:tc>
          <w:tcPr>
            <w:tcW w:w="7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6,048</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assets acquired</w:t>
            </w: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 process research and development</w:t>
            </w:r>
          </w:p>
        </w:tc>
        <w:tc>
          <w:tcPr>
            <w:tcW w:w="7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132,957</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consideration transferred</w:t>
            </w: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145,836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6099810</wp:posOffset>
            </wp:positionH>
            <wp:positionV relativeFrom="paragraph">
              <wp:posOffset>-462280</wp:posOffset>
            </wp:positionV>
            <wp:extent cx="431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-170815</wp:posOffset>
            </wp:positionV>
            <wp:extent cx="431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70"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Company recognized $4.8 million of research and development expenses and $6.2 million of general and administrative expenses related to the accelerated vesting of 4,273,182 options held by Faeth employees prior to the Acquisition during the three months ended March 31, 2026.</w:t>
      </w:r>
    </w:p>
    <w:p>
      <w:pPr>
        <w:spacing w:after="0" w:line="108"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Company recognized $9.1 million of research and development expenses and $6.5 million of general and administrative expenses for tax gross-up payments related to the vesting of these options. The Company acquired $11.4 million of prepaid expenses related to the tax gross-up payments included in the net assets acquired by the Company, which were recognized as expense during the three months ended March 31, 2026. The tax gross-up payments are not in scope for accounting under ASC 718 and are recognized in the period in which they are incurred.</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 w:name="page12"/>
    <w:bookmarkEnd w:id="11"/>
    <w:p>
      <w:pPr>
        <w:ind w:firstLine="749"/>
        <w:spacing w:after="0" w:line="282" w:lineRule="auto"/>
        <w:rPr>
          <w:sz w:val="20"/>
          <w:szCs w:val="20"/>
          <w:color w:val="auto"/>
        </w:rPr>
      </w:pPr>
      <w:r>
        <w:rPr>
          <w:rFonts w:ascii="Times New Roman" w:cs="Times New Roman" w:eastAsia="Times New Roman" w:hAnsi="Times New Roman"/>
          <w:sz w:val="18"/>
          <w:szCs w:val="18"/>
          <w:color w:val="auto"/>
        </w:rPr>
        <w:t>For the Assumed Options that were not vested as of the Acquisition, the Company recognized $0.3 million and less than $0.1 million of general and administrative and research and development expenses respectively during the three months ended March 31, 2026.</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MARKETABLE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Marketable securities consist of the following as of March 31, 2026 and December 31, 2025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As of March 31, 2026</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5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jc w:val="right"/>
              <w:ind w:right="580"/>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5120" w:type="dxa"/>
            <w:vAlign w:val="bottom"/>
          </w:tcPr>
          <w:p>
            <w:pPr>
              <w:spacing w:after="0"/>
              <w:rPr>
                <w:sz w:val="20"/>
                <w:szCs w:val="20"/>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r>
      <w:tr>
        <w:trPr>
          <w:trHeight w:val="21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440" w:type="dxa"/>
            <w:vAlign w:val="bottom"/>
            <w:shd w:val="clear" w:color="auto" w:fill="CFF0FC"/>
          </w:tcPr>
          <w:p>
            <w:pPr>
              <w:jc w:val="right"/>
              <w:ind w:right="27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45,256</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45,234</w:t>
            </w: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5,234</w:t>
            </w:r>
          </w:p>
        </w:tc>
        <w:tc>
          <w:tcPr>
            <w:tcW w:w="100" w:type="dxa"/>
            <w:vAlign w:val="bottom"/>
          </w:tcPr>
          <w:p>
            <w:pPr>
              <w:spacing w:after="0"/>
              <w:rPr>
                <w:sz w:val="18"/>
                <w:szCs w:val="18"/>
                <w:color w:val="auto"/>
              </w:rPr>
            </w:pPr>
          </w:p>
        </w:tc>
      </w:tr>
      <w:tr>
        <w:trPr>
          <w:trHeight w:val="209"/>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50,492</w:t>
            </w:r>
          </w:p>
        </w:tc>
        <w:tc>
          <w:tcPr>
            <w:tcW w:w="3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50,468</w:t>
            </w:r>
          </w:p>
        </w:tc>
        <w:tc>
          <w:tcPr>
            <w:tcW w:w="100" w:type="dxa"/>
            <w:vAlign w:val="bottom"/>
          </w:tcPr>
          <w:p>
            <w:pPr>
              <w:spacing w:after="0"/>
              <w:rPr>
                <w:sz w:val="18"/>
                <w:szCs w:val="18"/>
                <w:color w:val="auto"/>
              </w:rPr>
            </w:pPr>
          </w:p>
        </w:tc>
      </w:tr>
      <w:tr>
        <w:trPr>
          <w:trHeight w:val="20"/>
        </w:trPr>
        <w:tc>
          <w:tcPr>
            <w:tcW w:w="5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jc w:val="right"/>
              <w:ind w:right="580"/>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20" w:type="dxa"/>
            <w:vAlign w:val="bottom"/>
            <w:vMerge w:val="continue"/>
          </w:tcPr>
          <w:p>
            <w:pPr>
              <w:spacing w:after="0"/>
              <w:rPr>
                <w:sz w:val="18"/>
                <w:szCs w:val="18"/>
                <w:color w:val="auto"/>
              </w:rPr>
            </w:pPr>
          </w:p>
        </w:tc>
        <w:tc>
          <w:tcPr>
            <w:tcW w:w="44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9,772</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4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34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12,515</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2026, all marketable securities held by the Company had remaining contractual maturities of one year or less.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impairments of the Company’s assets measured and carried at fair value during the three months ended March 31, 2026.</w:t>
      </w:r>
    </w:p>
    <w:p>
      <w:pPr>
        <w:spacing w:after="0" w:line="117"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2026, an immaterial amount of unrealized losses were associated with marketable securities with contractual maturities of one year or less.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measured at fair value on a recurring basis and indicate the level of the fair value hierarchy used to determine such fair values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740" w:type="dxa"/>
            <w:vAlign w:val="bottom"/>
            <w:tcBorders>
              <w:bottom w:val="single" w:sz="8" w:color="auto"/>
            </w:tcBorders>
            <w:gridSpan w:val="8"/>
          </w:tcPr>
          <w:p>
            <w:pPr>
              <w:ind w:left="1140"/>
              <w:spacing w:after="0"/>
              <w:rPr>
                <w:sz w:val="20"/>
                <w:szCs w:val="20"/>
                <w:color w:val="auto"/>
              </w:rPr>
            </w:pPr>
            <w:r>
              <w:rPr>
                <w:rFonts w:ascii="Times New Roman" w:cs="Times New Roman" w:eastAsia="Times New Roman" w:hAnsi="Times New Roman"/>
                <w:sz w:val="18"/>
                <w:szCs w:val="18"/>
                <w:b w:val="1"/>
                <w:bCs w:val="1"/>
                <w:color w:val="auto"/>
              </w:rPr>
              <w:t>Fair value measurements as of March 31, 2026</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80" w:type="dxa"/>
            <w:vAlign w:val="bottom"/>
          </w:tcPr>
          <w:p>
            <w:pPr>
              <w:spacing w:after="0"/>
              <w:rPr>
                <w:sz w:val="18"/>
                <w:szCs w:val="18"/>
                <w:color w:val="auto"/>
              </w:rPr>
            </w:pPr>
          </w:p>
        </w:tc>
        <w:tc>
          <w:tcPr>
            <w:tcW w:w="11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r>
      <w:tr>
        <w:trPr>
          <w:trHeight w:val="210"/>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equivalents:</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Money market funds</w:t>
            </w:r>
          </w:p>
        </w:tc>
        <w:tc>
          <w:tcPr>
            <w:tcW w:w="148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88,689</w:t>
            </w:r>
          </w:p>
        </w:tc>
        <w:tc>
          <w:tcPr>
            <w:tcW w:w="5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88,689</w:t>
            </w:r>
          </w:p>
        </w:tc>
        <w:tc>
          <w:tcPr>
            <w:tcW w:w="100" w:type="dxa"/>
            <w:vAlign w:val="bottom"/>
            <w:shd w:val="clear" w:color="auto" w:fill="CFF0FC"/>
          </w:tcPr>
          <w:p>
            <w:pPr>
              <w:spacing w:after="0"/>
              <w:rPr>
                <w:sz w:val="18"/>
                <w:szCs w:val="18"/>
                <w:color w:val="auto"/>
              </w:rPr>
            </w:pPr>
          </w:p>
        </w:tc>
      </w:tr>
      <w:tr>
        <w:trPr>
          <w:trHeight w:val="216"/>
        </w:trPr>
        <w:tc>
          <w:tcPr>
            <w:tcW w:w="3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51,289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51,289</w:t>
            </w:r>
          </w:p>
        </w:tc>
        <w:tc>
          <w:tcPr>
            <w:tcW w:w="100" w:type="dxa"/>
            <w:vAlign w:val="bottom"/>
          </w:tcPr>
          <w:p>
            <w:pPr>
              <w:spacing w:after="0"/>
              <w:rPr>
                <w:sz w:val="18"/>
                <w:szCs w:val="18"/>
                <w:color w:val="auto"/>
              </w:rPr>
            </w:pPr>
          </w:p>
        </w:tc>
      </w:tr>
      <w:tr>
        <w:trPr>
          <w:trHeight w:val="216"/>
        </w:trPr>
        <w:tc>
          <w:tcPr>
            <w:tcW w:w="35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10,163</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10,163</w:t>
            </w:r>
          </w:p>
        </w:tc>
        <w:tc>
          <w:tcPr>
            <w:tcW w:w="100" w:type="dxa"/>
            <w:vAlign w:val="bottom"/>
            <w:shd w:val="clear" w:color="auto" w:fill="CFF0FC"/>
          </w:tcPr>
          <w:p>
            <w:pPr>
              <w:spacing w:after="0"/>
              <w:rPr>
                <w:sz w:val="18"/>
                <w:szCs w:val="18"/>
                <w:color w:val="auto"/>
              </w:rPr>
            </w:pPr>
          </w:p>
        </w:tc>
      </w:tr>
      <w:tr>
        <w:trPr>
          <w:trHeight w:val="216"/>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45,234</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45,234</w:t>
            </w:r>
          </w:p>
        </w:tc>
        <w:tc>
          <w:tcPr>
            <w:tcW w:w="100" w:type="dxa"/>
            <w:vAlign w:val="bottom"/>
            <w:shd w:val="clear" w:color="auto" w:fill="CFF0FC"/>
          </w:tcPr>
          <w:p>
            <w:pPr>
              <w:spacing w:after="0"/>
              <w:rPr>
                <w:sz w:val="18"/>
                <w:szCs w:val="18"/>
                <w:color w:val="auto"/>
              </w:rPr>
            </w:pPr>
          </w:p>
        </w:tc>
      </w:tr>
      <w:tr>
        <w:trPr>
          <w:trHeight w:val="216"/>
        </w:trPr>
        <w:tc>
          <w:tcPr>
            <w:tcW w:w="3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5,234</w:t>
            </w:r>
          </w:p>
        </w:tc>
        <w:tc>
          <w:tcPr>
            <w:tcW w:w="100" w:type="dxa"/>
            <w:vAlign w:val="bottom"/>
          </w:tcPr>
          <w:p>
            <w:pPr>
              <w:spacing w:after="0"/>
              <w:rPr>
                <w:sz w:val="18"/>
                <w:szCs w:val="18"/>
                <w:color w:val="auto"/>
              </w:rPr>
            </w:pPr>
          </w:p>
        </w:tc>
      </w:tr>
      <w:tr>
        <w:trPr>
          <w:trHeight w:val="250"/>
        </w:trPr>
        <w:tc>
          <w:tcPr>
            <w:tcW w:w="35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tcBorders>
              <w:top w:val="single" w:sz="8" w:color="CFF0FC"/>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88,689</w:t>
            </w:r>
          </w:p>
        </w:tc>
        <w:tc>
          <w:tcPr>
            <w:tcW w:w="280" w:type="dxa"/>
            <w:vAlign w:val="bottom"/>
            <w:tcBorders>
              <w:top w:val="single" w:sz="8" w:color="CFF0FC"/>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111,920</w:t>
            </w:r>
          </w:p>
        </w:tc>
        <w:tc>
          <w:tcPr>
            <w:tcW w:w="260" w:type="dxa"/>
            <w:vAlign w:val="bottom"/>
            <w:tcBorders>
              <w:top w:val="single" w:sz="8" w:color="CFF0FC"/>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FF0FC"/>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200,609</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r>
      <w:tr>
        <w:trPr>
          <w:trHeight w:val="197"/>
        </w:trPr>
        <w:tc>
          <w:tcPr>
            <w:tcW w:w="3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Preferred stock warrant liability</w:t>
            </w:r>
          </w:p>
        </w:tc>
        <w:tc>
          <w:tcPr>
            <w:tcW w:w="148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r>
      <w:tr>
        <w:trPr>
          <w:trHeight w:val="20"/>
        </w:trPr>
        <w:tc>
          <w:tcPr>
            <w:tcW w:w="354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14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r>
      <w:tr>
        <w:trPr>
          <w:trHeight w:val="20"/>
        </w:trPr>
        <w:tc>
          <w:tcPr>
            <w:tcW w:w="3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3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35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-1379220</wp:posOffset>
            </wp:positionV>
            <wp:extent cx="768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-1362075</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-1525270</wp:posOffset>
            </wp:positionV>
            <wp:extent cx="7683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-1379220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-1362075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-1525270</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-1379220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-1362075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-1525270</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-1379220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-1362075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-1525270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-1079500</wp:posOffset>
            </wp:positionV>
            <wp:extent cx="768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-1079500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-1079500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8"/>
        </w:trPr>
        <w:tc>
          <w:tcPr>
            <w:tcW w:w="33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gridSpan w:val="9"/>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Fair value measurements as of December 31, 2025</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4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r>
      <w:tr>
        <w:trPr>
          <w:trHeight w:val="210"/>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4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equivalents:</w:t>
            </w:r>
          </w:p>
        </w:tc>
        <w:tc>
          <w:tcPr>
            <w:tcW w:w="1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Money market funds</w:t>
            </w:r>
          </w:p>
        </w:tc>
        <w:tc>
          <w:tcPr>
            <w:tcW w:w="2460" w:type="dxa"/>
            <w:vAlign w:val="bottom"/>
            <w:gridSpan w:val="2"/>
            <w:shd w:val="clear" w:color="auto" w:fill="CFF0FC"/>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7,896</w:t>
            </w:r>
          </w:p>
        </w:tc>
        <w:tc>
          <w:tcPr>
            <w:tcW w:w="5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7,896</w:t>
            </w:r>
          </w:p>
        </w:tc>
        <w:tc>
          <w:tcPr>
            <w:tcW w:w="100" w:type="dxa"/>
            <w:vAlign w:val="bottom"/>
            <w:shd w:val="clear" w:color="auto" w:fill="CFF0FC"/>
          </w:tcPr>
          <w:p>
            <w:pPr>
              <w:spacing w:after="0"/>
              <w:rPr>
                <w:sz w:val="18"/>
                <w:szCs w:val="18"/>
                <w:color w:val="auto"/>
              </w:rPr>
            </w:pPr>
          </w:p>
        </w:tc>
      </w:tr>
      <w:tr>
        <w:trPr>
          <w:trHeight w:val="216"/>
        </w:trPr>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1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14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9,772</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9,772</w:t>
            </w:r>
          </w:p>
        </w:tc>
        <w:tc>
          <w:tcPr>
            <w:tcW w:w="100" w:type="dxa"/>
            <w:vAlign w:val="bottom"/>
            <w:shd w:val="clear" w:color="auto" w:fill="CFF0FC"/>
          </w:tcPr>
          <w:p>
            <w:pPr>
              <w:spacing w:after="0"/>
              <w:rPr>
                <w:sz w:val="18"/>
                <w:szCs w:val="18"/>
                <w:color w:val="auto"/>
              </w:rPr>
            </w:pPr>
          </w:p>
        </w:tc>
      </w:tr>
      <w:tr>
        <w:trPr>
          <w:trHeight w:val="216"/>
        </w:trPr>
        <w:tc>
          <w:tcPr>
            <w:tcW w:w="33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148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2,744</w:t>
            </w:r>
          </w:p>
        </w:tc>
        <w:tc>
          <w:tcPr>
            <w:tcW w:w="26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2,744</w:t>
            </w:r>
          </w:p>
        </w:tc>
        <w:tc>
          <w:tcPr>
            <w:tcW w:w="100" w:type="dxa"/>
            <w:vAlign w:val="bottom"/>
            <w:tcBorders>
              <w:bottom w:val="single" w:sz="8" w:color="CFF0FC"/>
            </w:tcBorders>
          </w:tcPr>
          <w:p>
            <w:pPr>
              <w:spacing w:after="0"/>
              <w:rPr>
                <w:sz w:val="18"/>
                <w:szCs w:val="18"/>
                <w:color w:val="auto"/>
              </w:rPr>
            </w:pPr>
          </w:p>
        </w:tc>
      </w:tr>
      <w:tr>
        <w:trPr>
          <w:trHeight w:val="249"/>
        </w:trPr>
        <w:tc>
          <w:tcPr>
            <w:tcW w:w="3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81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7,896</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12,516</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20,412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-25400</wp:posOffset>
            </wp:positionV>
            <wp:extent cx="768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-7620</wp:posOffset>
            </wp:positionV>
            <wp:extent cx="768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-170815</wp:posOffset>
            </wp:positionV>
            <wp:extent cx="768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-25400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-170815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When developing fair value estimates, the Company maximizes the use of observable inputs and minimizes the use of unobservable inputs. When available, the Company uses quoted market prices to measure fair value. The valuation technique used to measure fair value for the Company's Level 1 and Level 2 assets is a market approach, using prices and other relevant information generated by market transactions involving identical or comparable assets. If market prices are not available, the fair value measurement is based on models that use primarily market-based parameters including yield curves, volatilities, credit ratings and currency rates. In certain cases where market rate assumptions are not available, the Company is required to make judgments about assumptions market participants would use to estimate the fair value of a financial instrument.</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transfers among Level 1, Level 2 or Level 3 categories in the three months ended March 31, 2026 and 2025.</w:t>
      </w:r>
    </w:p>
    <w:p>
      <w:pPr>
        <w:spacing w:after="0" w:line="3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 Warrant Liability</w:t>
      </w:r>
    </w:p>
    <w:p>
      <w:pPr>
        <w:spacing w:after="0" w:line="121" w:lineRule="exact"/>
        <w:rPr>
          <w:sz w:val="20"/>
          <w:szCs w:val="20"/>
          <w:color w:val="auto"/>
        </w:rPr>
      </w:pPr>
    </w:p>
    <w:p>
      <w:pPr>
        <w:ind w:right="480" w:firstLine="509"/>
        <w:spacing w:after="0" w:line="261" w:lineRule="auto"/>
        <w:rPr>
          <w:sz w:val="20"/>
          <w:szCs w:val="20"/>
          <w:color w:val="auto"/>
        </w:rPr>
      </w:pPr>
      <w:r>
        <w:rPr>
          <w:rFonts w:ascii="Times New Roman" w:cs="Times New Roman" w:eastAsia="Times New Roman" w:hAnsi="Times New Roman"/>
          <w:sz w:val="18"/>
          <w:szCs w:val="18"/>
          <w:color w:val="auto"/>
        </w:rPr>
        <w:t>In September 2021, Faeth issued 10,550 warrants (the “Warrants”) to Western Alliance Bank (“Western Alliance”) to purchase shares of redeemable convertible Preferred Stock, at an exercise price of $1.42177. Western Alliance can exercise the Warrants until the termination of the agreement on September 6, 2031. Under the terms of the Merger Agreement, the Warrants were converted into warrants to purchase 2.1020 shares of Series B Preferred Stock. No Warrants were exercised as of March 31, 2026.</w:t>
      </w:r>
    </w:p>
    <w:p>
      <w:pPr>
        <w:spacing w:after="0" w:line="126"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Company concluded that the Warrants required liability classification based on the guidance in ASC 480. The Warrants were recorded at fair value using the Black-Scholes method with the following inputs: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40" w:type="dxa"/>
            <w:vAlign w:val="bottom"/>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As of March 31,</w:t>
            </w:r>
          </w:p>
        </w:tc>
      </w:tr>
      <w:tr>
        <w:trPr>
          <w:trHeight w:val="238"/>
        </w:trPr>
        <w:tc>
          <w:tcPr>
            <w:tcW w:w="26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40" w:type="dxa"/>
            <w:vAlign w:val="bottom"/>
            <w:gridSpan w:val="3"/>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2026</w:t>
            </w:r>
          </w:p>
        </w:tc>
      </w:tr>
      <w:tr>
        <w:trPr>
          <w:trHeight w:val="216"/>
        </w:trPr>
        <w:tc>
          <w:tcPr>
            <w:tcW w:w="5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equity volatility</w:t>
            </w:r>
          </w:p>
        </w:tc>
        <w:tc>
          <w:tcPr>
            <w:tcW w:w="1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4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16"/>
        </w:trPr>
        <w:tc>
          <w:tcPr>
            <w:tcW w:w="5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440" w:type="dxa"/>
            <w:vAlign w:val="bottom"/>
            <w:gridSpan w:val="3"/>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1.5</w:t>
            </w:r>
          </w:p>
        </w:tc>
      </w:tr>
      <w:tr>
        <w:trPr>
          <w:trHeight w:val="540"/>
        </w:trPr>
        <w:tc>
          <w:tcPr>
            <w:tcW w:w="11240" w:type="dxa"/>
            <w:vAlign w:val="bottom"/>
            <w:gridSpan w:val="7"/>
          </w:tcPr>
          <w:p>
            <w:pPr>
              <w:jc w:val="right"/>
              <w:ind w:right="1470"/>
              <w:spacing w:after="0"/>
              <w:rPr>
                <w:sz w:val="20"/>
                <w:szCs w:val="20"/>
                <w:color w:val="auto"/>
              </w:rPr>
            </w:pPr>
            <w:r>
              <w:rPr>
                <w:rFonts w:ascii="Times New Roman" w:cs="Times New Roman" w:eastAsia="Times New Roman" w:hAnsi="Times New Roman"/>
                <w:sz w:val="18"/>
                <w:szCs w:val="18"/>
                <w:color w:val="auto"/>
              </w:rPr>
              <w:t>The following table presents a roll-forward of the aggregate fair values of the Preferred Stock Warrant Liability (in thousands):</w:t>
            </w:r>
          </w:p>
        </w:tc>
      </w:tr>
      <w:tr>
        <w:trPr>
          <w:trHeight w:val="356"/>
        </w:trPr>
        <w:tc>
          <w:tcPr>
            <w:tcW w:w="26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40" w:type="dxa"/>
            <w:vAlign w:val="bottom"/>
            <w:gridSpan w:val="3"/>
          </w:tcPr>
          <w:p>
            <w:pPr>
              <w:jc w:val="right"/>
              <w:ind w:right="2990"/>
              <w:spacing w:after="0"/>
              <w:rPr>
                <w:sz w:val="20"/>
                <w:szCs w:val="20"/>
                <w:color w:val="auto"/>
              </w:rPr>
            </w:pPr>
            <w:r>
              <w:rPr>
                <w:rFonts w:ascii="Times New Roman" w:cs="Times New Roman" w:eastAsia="Times New Roman" w:hAnsi="Times New Roman"/>
                <w:sz w:val="18"/>
                <w:szCs w:val="18"/>
                <w:b w:val="1"/>
                <w:bCs w:val="1"/>
                <w:color w:val="auto"/>
              </w:rPr>
              <w:t>Preferred Stock</w:t>
            </w:r>
          </w:p>
        </w:tc>
      </w:tr>
      <w:tr>
        <w:trPr>
          <w:trHeight w:val="238"/>
        </w:trPr>
        <w:tc>
          <w:tcPr>
            <w:tcW w:w="26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Warrant Liability</w:t>
            </w:r>
          </w:p>
        </w:tc>
        <w:tc>
          <w:tcPr>
            <w:tcW w:w="2720" w:type="dxa"/>
            <w:vAlign w:val="bottom"/>
            <w:gridSpan w:val="2"/>
          </w:tcPr>
          <w:p>
            <w:pPr>
              <w:spacing w:after="0"/>
              <w:rPr>
                <w:sz w:val="20"/>
                <w:szCs w:val="20"/>
                <w:color w:val="auto"/>
              </w:rPr>
            </w:pPr>
          </w:p>
        </w:tc>
      </w:tr>
      <w:tr>
        <w:trPr>
          <w:trHeight w:val="250"/>
        </w:trPr>
        <w:tc>
          <w:tcPr>
            <w:tcW w:w="2660" w:type="dxa"/>
            <w:vAlign w:val="bottom"/>
          </w:tcPr>
          <w:p>
            <w:pPr>
              <w:spacing w:after="0"/>
              <w:rPr>
                <w:sz w:val="21"/>
                <w:szCs w:val="21"/>
                <w:color w:val="auto"/>
              </w:rPr>
            </w:pPr>
          </w:p>
        </w:tc>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February 17, 2026</w:t>
            </w:r>
          </w:p>
        </w:tc>
        <w:tc>
          <w:tcPr>
            <w:tcW w:w="15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21"/>
                <w:szCs w:val="21"/>
                <w:color w:val="auto"/>
              </w:rPr>
            </w:pPr>
          </w:p>
        </w:tc>
        <w:tc>
          <w:tcPr>
            <w:tcW w:w="2640" w:type="dxa"/>
            <w:vAlign w:val="bottom"/>
          </w:tcPr>
          <w:p>
            <w:pPr>
              <w:spacing w:after="0"/>
              <w:rPr>
                <w:sz w:val="21"/>
                <w:szCs w:val="21"/>
                <w:color w:val="auto"/>
              </w:rPr>
            </w:pPr>
          </w:p>
        </w:tc>
      </w:tr>
      <w:tr>
        <w:trPr>
          <w:trHeight w:val="197"/>
        </w:trPr>
        <w:tc>
          <w:tcPr>
            <w:tcW w:w="2660" w:type="dxa"/>
            <w:vAlign w:val="bottom"/>
          </w:tcPr>
          <w:p>
            <w:pPr>
              <w:spacing w:after="0"/>
              <w:rPr>
                <w:sz w:val="17"/>
                <w:szCs w:val="17"/>
                <w:color w:val="auto"/>
              </w:rPr>
            </w:pPr>
          </w:p>
        </w:tc>
        <w:tc>
          <w:tcPr>
            <w:tcW w:w="26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Change in fair value</w:t>
            </w:r>
          </w:p>
        </w:tc>
        <w:tc>
          <w:tcPr>
            <w:tcW w:w="138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7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tcBorders>
          </w:tcPr>
          <w:p>
            <w:pPr>
              <w:spacing w:after="0"/>
              <w:rPr>
                <w:sz w:val="17"/>
                <w:szCs w:val="17"/>
                <w:color w:val="auto"/>
              </w:rPr>
            </w:pPr>
          </w:p>
        </w:tc>
        <w:tc>
          <w:tcPr>
            <w:tcW w:w="2640" w:type="dxa"/>
            <w:vAlign w:val="bottom"/>
          </w:tcPr>
          <w:p>
            <w:pPr>
              <w:spacing w:after="0"/>
              <w:rPr>
                <w:sz w:val="17"/>
                <w:szCs w:val="17"/>
                <w:color w:val="auto"/>
              </w:rPr>
            </w:pPr>
          </w:p>
        </w:tc>
      </w:tr>
      <w:tr>
        <w:trPr>
          <w:trHeight w:val="249"/>
        </w:trPr>
        <w:tc>
          <w:tcPr>
            <w:tcW w:w="2660" w:type="dxa"/>
            <w:vAlign w:val="bottom"/>
          </w:tcPr>
          <w:p>
            <w:pPr>
              <w:spacing w:after="0"/>
              <w:rPr>
                <w:sz w:val="21"/>
                <w:szCs w:val="21"/>
                <w:color w:val="auto"/>
              </w:rPr>
            </w:pPr>
          </w:p>
        </w:tc>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15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21"/>
                <w:szCs w:val="21"/>
                <w:color w:val="auto"/>
              </w:rPr>
            </w:pPr>
          </w:p>
        </w:tc>
        <w:tc>
          <w:tcPr>
            <w:tcW w:w="2640" w:type="dxa"/>
            <w:vAlign w:val="bottom"/>
          </w:tcPr>
          <w:p>
            <w:pPr>
              <w:spacing w:after="0"/>
              <w:rPr>
                <w:sz w:val="21"/>
                <w:szCs w:val="21"/>
                <w:color w:val="auto"/>
              </w:rPr>
            </w:pPr>
          </w:p>
        </w:tc>
      </w:tr>
      <w:tr>
        <w:trPr>
          <w:trHeight w:val="845"/>
        </w:trPr>
        <w:tc>
          <w:tcPr>
            <w:tcW w:w="2660" w:type="dxa"/>
            <w:vAlign w:val="bottom"/>
          </w:tcPr>
          <w:p>
            <w:pPr>
              <w:spacing w:after="0"/>
              <w:rPr>
                <w:sz w:val="24"/>
                <w:szCs w:val="24"/>
                <w:color w:val="auto"/>
              </w:rPr>
            </w:pPr>
          </w:p>
        </w:tc>
        <w:tc>
          <w:tcPr>
            <w:tcW w:w="2600" w:type="dxa"/>
            <w:vAlign w:val="bottom"/>
            <w:tcBorders>
              <w:top w:val="single" w:sz="8" w:color="CFF0FC"/>
            </w:tcBorders>
          </w:tcPr>
          <w:p>
            <w:pPr>
              <w:spacing w:after="0"/>
              <w:rPr>
                <w:sz w:val="24"/>
                <w:szCs w:val="24"/>
                <w:color w:val="auto"/>
              </w:rPr>
            </w:pPr>
          </w:p>
        </w:tc>
        <w:tc>
          <w:tcPr>
            <w:tcW w:w="1380" w:type="dxa"/>
            <w:vAlign w:val="bottom"/>
            <w:tcBorders>
              <w:top w:val="single" w:sz="8" w:color="CFF0FC"/>
            </w:tcBorders>
          </w:tcPr>
          <w:p>
            <w:pPr>
              <w:jc w:val="right"/>
              <w:ind w:right="83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640" w:type="dxa"/>
            <w:vAlign w:val="bottom"/>
          </w:tcPr>
          <w:p>
            <w:pPr>
              <w:spacing w:after="0"/>
              <w:rPr>
                <w:sz w:val="24"/>
                <w:szCs w:val="24"/>
                <w:color w:val="auto"/>
              </w:rPr>
            </w:pPr>
          </w:p>
        </w:tc>
      </w:tr>
      <w:tr>
        <w:trPr>
          <w:trHeight w:val="763"/>
        </w:trPr>
        <w:tc>
          <w:tcPr>
            <w:tcW w:w="266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-1379220</wp:posOffset>
            </wp:positionV>
            <wp:extent cx="431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-1362075</wp:posOffset>
            </wp:positionV>
            <wp:extent cx="431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-1071245</wp:posOffset>
            </wp:positionV>
            <wp:extent cx="431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-1053465</wp:posOffset>
            </wp:positionV>
            <wp:extent cx="431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6. PROPERTY AND EQUIPMENT,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 of the following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40" w:type="dxa"/>
            <w:vAlign w:val="bottom"/>
          </w:tcPr>
          <w:p>
            <w:pPr>
              <w:spacing w:after="0"/>
              <w:rPr>
                <w:sz w:val="15"/>
                <w:szCs w:val="15"/>
                <w:color w:val="auto"/>
              </w:rPr>
            </w:pPr>
          </w:p>
        </w:tc>
        <w:tc>
          <w:tcPr>
            <w:tcW w:w="11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equipment</w:t>
            </w:r>
          </w:p>
        </w:tc>
        <w:tc>
          <w:tcPr>
            <w:tcW w:w="1160" w:type="dxa"/>
            <w:vAlign w:val="bottom"/>
            <w:shd w:val="clear" w:color="auto" w:fill="CFF0FC"/>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 and furniture</w:t>
            </w:r>
          </w:p>
        </w:tc>
        <w:tc>
          <w:tcPr>
            <w:tcW w:w="1160" w:type="dxa"/>
            <w:vAlign w:val="bottom"/>
          </w:tcPr>
          <w:p>
            <w:pPr>
              <w:spacing w:after="0"/>
              <w:rPr>
                <w:sz w:val="18"/>
                <w:szCs w:val="18"/>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369</w:t>
            </w: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w:t>
            </w:r>
          </w:p>
        </w:tc>
        <w:tc>
          <w:tcPr>
            <w:tcW w:w="116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253</w:t>
            </w: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253</w:t>
            </w:r>
          </w:p>
        </w:tc>
      </w:tr>
      <w:tr>
        <w:trPr>
          <w:trHeight w:val="209"/>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160" w:type="dxa"/>
            <w:vAlign w:val="bottom"/>
          </w:tcPr>
          <w:p>
            <w:pPr>
              <w:spacing w:after="0"/>
              <w:rPr>
                <w:sz w:val="18"/>
                <w:szCs w:val="18"/>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622</w:t>
            </w: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16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w:t>
            </w: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160" w:type="dxa"/>
            <w:vAlign w:val="bottom"/>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82</w:t>
            </w:r>
          </w:p>
        </w:tc>
      </w:tr>
      <w:tr>
        <w:trPr>
          <w:trHeight w:val="20"/>
        </w:trPr>
        <w:tc>
          <w:tcPr>
            <w:tcW w:w="77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-453390</wp:posOffset>
            </wp:positionV>
            <wp:extent cx="1028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1028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and amortization expense for the three months ended March 31, 2026 and 2025 was $29 thousand and $30 thousand, respectively.</w:t>
      </w:r>
    </w:p>
    <w:p>
      <w:pPr>
        <w:spacing w:after="0" w:line="225"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the Company disposed of all research equipment through the sale of fixed assets, resulting in a reduction of the gross carrying amount to zero. The related accumulated depreciation of $1,078 thousand was written off in connection with this disposal. A gain of $23 thousand was recognized on the sale and is included in the other income (expense) line in the condensed consolidated statements of operations and comprehensive loss for the period.</w:t>
      </w:r>
    </w:p>
    <w:p>
      <w:pPr>
        <w:spacing w:after="0" w:line="176" w:lineRule="exact"/>
        <w:rPr>
          <w:sz w:val="20"/>
          <w:szCs w:val="20"/>
          <w:color w:val="auto"/>
        </w:rPr>
      </w:pPr>
    </w:p>
    <w:p>
      <w:pPr>
        <w:ind w:left="260" w:right="7600" w:hanging="252"/>
        <w:spacing w:after="0" w:line="377" w:lineRule="auto"/>
        <w:tabs>
          <w:tab w:leader="none" w:pos="187"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i w:val="1"/>
          <w:iCs w:val="1"/>
          <w:color w:val="auto"/>
        </w:rPr>
        <w:t>Operating Leases</w:t>
      </w:r>
    </w:p>
    <w:p>
      <w:pPr>
        <w:spacing w:after="0" w:line="2"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As of March 31, 2026, the Company leases office and laboratory facilities under operating leases, which expire at various dates through 2027. The Company has $0.7 million in letters of credit outstanding as security on certain of these leases. As part of its adoption of ASC 842, the Company recorded operating ROU assets and operating lease liabilities for these leases as of January 1, 2022. The Company elected the short-term lease recognition exemption for operating leases with an initial term of less than 12 months and therefore did not recognize the lease on the Company’s balance sheet. Rent expense was recognized on a straight-line basis over the lease term. Short-term lease expense for the three months ended March 31, 2026 and 2025 was immaterial for both periods.</w:t>
      </w:r>
    </w:p>
    <w:p>
      <w:pPr>
        <w:spacing w:after="0" w:line="7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Finance Leases</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Company leases furniture under finance leases. The Company previously leased research equipment under finance leases, which were disposed of during the three months ended March 31, 2025.</w:t>
      </w:r>
    </w:p>
    <w:p>
      <w:pPr>
        <w:spacing w:after="0" w:line="54"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contains a summary of the lease costs recognized under ASC 842 pertaining to the Company’s finance and operating leases for the three months ended March 31, 2026 and 2025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60" w:type="dxa"/>
            <w:vAlign w:val="bottom"/>
            <w:tcBorders>
              <w:bottom w:val="single" w:sz="8" w:color="auto"/>
            </w:tcBorders>
            <w:gridSpan w:val="4"/>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8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Borders>
              <w:bottom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Borders>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7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cost:</w:t>
            </w:r>
          </w:p>
        </w:tc>
        <w:tc>
          <w:tcPr>
            <w:tcW w:w="14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Amortization of finance ROU assets</w:t>
            </w:r>
          </w:p>
        </w:tc>
        <w:tc>
          <w:tcPr>
            <w:tcW w:w="1400" w:type="dxa"/>
            <w:vAlign w:val="bottom"/>
          </w:tcPr>
          <w:p>
            <w:pPr>
              <w:jc w:val="right"/>
              <w:ind w:right="12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0" w:type="dxa"/>
            <w:vAlign w:val="bottom"/>
            <w:gridSpan w:val="2"/>
          </w:tcPr>
          <w:p>
            <w:pPr>
              <w:jc w:val="right"/>
              <w:ind w:right="11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r>
      <w:tr>
        <w:trPr>
          <w:trHeight w:val="216"/>
        </w:trPr>
        <w:tc>
          <w:tcPr>
            <w:tcW w:w="70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on finance lease liabilities</w:t>
            </w:r>
          </w:p>
        </w:tc>
        <w:tc>
          <w:tcPr>
            <w:tcW w:w="14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18"/>
                <w:szCs w:val="18"/>
                <w:color w:val="auto"/>
              </w:rPr>
            </w:pPr>
          </w:p>
        </w:tc>
      </w:tr>
      <w:tr>
        <w:trPr>
          <w:trHeight w:val="216"/>
        </w:trPr>
        <w:tc>
          <w:tcPr>
            <w:tcW w:w="7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lease cost</w:t>
            </w:r>
          </w:p>
        </w:tc>
        <w:tc>
          <w:tcPr>
            <w:tcW w:w="1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Pr>
          <w:p>
            <w:pPr>
              <w:spacing w:after="0"/>
              <w:rPr>
                <w:sz w:val="18"/>
                <w:szCs w:val="18"/>
                <w:color w:val="auto"/>
              </w:rPr>
            </w:pPr>
          </w:p>
        </w:tc>
      </w:tr>
      <w:tr>
        <w:trPr>
          <w:trHeight w:val="216"/>
        </w:trPr>
        <w:tc>
          <w:tcPr>
            <w:tcW w:w="7020" w:type="dxa"/>
            <w:vAlign w:val="bottom"/>
            <w:tcBorders>
              <w:bottom w:val="single" w:sz="8" w:color="CFF0FC"/>
            </w:tcBorders>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Variable lease cost</w:t>
            </w:r>
          </w:p>
        </w:tc>
        <w:tc>
          <w:tcPr>
            <w:tcW w:w="14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6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1400" w:type="dxa"/>
            <w:vAlign w:val="bottom"/>
            <w:tcBorders>
              <w:bottom w:val="single" w:sz="8" w:color="auto"/>
            </w:tcBorders>
          </w:tcPr>
          <w:p>
            <w:pPr>
              <w:jc w:val="right"/>
              <w:ind w:right="12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260" w:type="dxa"/>
            <w:vAlign w:val="bottom"/>
          </w:tcPr>
          <w:p>
            <w:pPr>
              <w:spacing w:after="0"/>
              <w:rPr>
                <w:sz w:val="18"/>
                <w:szCs w:val="18"/>
                <w:color w:val="auto"/>
              </w:rPr>
            </w:pPr>
          </w:p>
        </w:tc>
        <w:tc>
          <w:tcPr>
            <w:tcW w:w="1340" w:type="dxa"/>
            <w:vAlign w:val="bottom"/>
            <w:tcBorders>
              <w:bottom w:val="single" w:sz="8" w:color="auto"/>
            </w:tcBorders>
          </w:tcPr>
          <w:p>
            <w:pPr>
              <w:jc w:val="right"/>
              <w:ind w:right="115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-153670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the Company disposed of research equipment classified as a ROU asset under a lease agreement. The ROU asset was sold, resulting in a loss of $3 thousand, which is included in the other income (expense) line in the condensed consolidated statements of operations and comprehensive loss for the period.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contains a summary of other information pertaining to the Company’s finance and operating leases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and 2025 (in thousands, except lease term and discount rate):</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73"/>
        </w:trPr>
        <w:tc>
          <w:tcPr>
            <w:tcW w:w="6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380" w:type="dxa"/>
            <w:vAlign w:val="bottom"/>
            <w:tcBorders>
              <w:bottom w:val="single" w:sz="8" w:color="auto"/>
            </w:tcBorders>
            <w:gridSpan w:val="4"/>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8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7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lease information:</w:t>
            </w:r>
          </w:p>
        </w:tc>
        <w:tc>
          <w:tcPr>
            <w:tcW w:w="1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cash outflows for operating leases</w:t>
            </w:r>
          </w:p>
        </w:tc>
        <w:tc>
          <w:tcPr>
            <w:tcW w:w="1200" w:type="dxa"/>
            <w:vAlign w:val="bottom"/>
          </w:tcPr>
          <w:p>
            <w:pPr>
              <w:jc w:val="right"/>
              <w:ind w:right="1017"/>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420" w:type="dxa"/>
            <w:vAlign w:val="bottom"/>
            <w:gridSpan w:val="2"/>
          </w:tcPr>
          <w:p>
            <w:pPr>
              <w:jc w:val="right"/>
              <w:ind w:right="98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18"/>
                <w:szCs w:val="18"/>
                <w:color w:val="auto"/>
              </w:rPr>
            </w:pPr>
          </w:p>
        </w:tc>
      </w:tr>
      <w:tr>
        <w:trPr>
          <w:trHeight w:val="216"/>
        </w:trPr>
        <w:tc>
          <w:tcPr>
            <w:tcW w:w="70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cash outflows for finance leases</w:t>
            </w:r>
          </w:p>
        </w:tc>
        <w:tc>
          <w:tcPr>
            <w:tcW w:w="1200" w:type="dxa"/>
            <w:vAlign w:val="bottom"/>
            <w:shd w:val="clear" w:color="auto" w:fill="CFF0FC"/>
          </w:tcPr>
          <w:p>
            <w:pPr>
              <w:jc w:val="right"/>
              <w:ind w:right="1017"/>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20" w:type="dxa"/>
            <w:vAlign w:val="bottom"/>
            <w:gridSpan w:val="2"/>
            <w:shd w:val="clear" w:color="auto" w:fill="CFF0FC"/>
          </w:tcPr>
          <w:p>
            <w:pPr>
              <w:jc w:val="right"/>
              <w:ind w:right="98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18"/>
                <w:szCs w:val="18"/>
                <w:color w:val="auto"/>
              </w:rPr>
            </w:pPr>
          </w:p>
        </w:tc>
      </w:tr>
      <w:tr>
        <w:trPr>
          <w:trHeight w:val="216"/>
        </w:trPr>
        <w:tc>
          <w:tcPr>
            <w:tcW w:w="7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Financing cash outflows from finance leases</w:t>
            </w:r>
          </w:p>
        </w:tc>
        <w:tc>
          <w:tcPr>
            <w:tcW w:w="1200" w:type="dxa"/>
            <w:vAlign w:val="bottom"/>
          </w:tcPr>
          <w:p>
            <w:pPr>
              <w:jc w:val="right"/>
              <w:ind w:right="1017"/>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20" w:type="dxa"/>
            <w:vAlign w:val="bottom"/>
            <w:gridSpan w:val="2"/>
          </w:tcPr>
          <w:p>
            <w:pPr>
              <w:jc w:val="right"/>
              <w:ind w:right="98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8"/>
                <w:szCs w:val="18"/>
                <w:color w:val="auto"/>
              </w:rPr>
            </w:pPr>
          </w:p>
        </w:tc>
      </w:tr>
      <w:tr>
        <w:trPr>
          <w:trHeight w:val="216"/>
        </w:trPr>
        <w:tc>
          <w:tcPr>
            <w:tcW w:w="6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1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 years</w:t>
            </w: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1.6 years</w:t>
            </w:r>
          </w:p>
        </w:tc>
      </w:tr>
      <w:tr>
        <w:trPr>
          <w:trHeight w:val="234"/>
        </w:trPr>
        <w:tc>
          <w:tcPr>
            <w:tcW w:w="7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Financing leases</w:t>
            </w:r>
          </w:p>
        </w:tc>
        <w:tc>
          <w:tcPr>
            <w:tcW w:w="1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years</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0.9 years</w:t>
            </w:r>
          </w:p>
        </w:tc>
      </w:tr>
      <w:tr>
        <w:trPr>
          <w:trHeight w:val="198"/>
        </w:trPr>
        <w:tc>
          <w:tcPr>
            <w:tcW w:w="6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0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1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8"/>
                <w:szCs w:val="18"/>
                <w:color w:val="auto"/>
              </w:rPr>
            </w:pPr>
          </w:p>
        </w:tc>
      </w:tr>
      <w:tr>
        <w:trPr>
          <w:trHeight w:val="216"/>
        </w:trPr>
        <w:tc>
          <w:tcPr>
            <w:tcW w:w="70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Financing leases</w:t>
            </w:r>
          </w:p>
        </w:tc>
        <w:tc>
          <w:tcPr>
            <w:tcW w:w="1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FF0FC"/>
          </w:tcPr>
          <w:p>
            <w:pPr>
              <w:spacing w:after="0"/>
              <w:rPr>
                <w:sz w:val="18"/>
                <w:szCs w:val="18"/>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maturity of the Company’s operating and finance lease liabilities as of March 31, 2026 (in thousands):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100" w:type="dxa"/>
            <w:vAlign w:val="bottom"/>
          </w:tcPr>
          <w:p>
            <w:pPr>
              <w:spacing w:after="0"/>
              <w:rPr>
                <w:sz w:val="15"/>
                <w:szCs w:val="15"/>
                <w:color w:val="auto"/>
              </w:rPr>
            </w:pPr>
          </w:p>
        </w:tc>
      </w:tr>
      <w:tr>
        <w:trPr>
          <w:trHeight w:val="210"/>
        </w:trPr>
        <w:tc>
          <w:tcPr>
            <w:tcW w:w="8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 (Remainder of 2026)</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62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FF0FC"/>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1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29"/>
        </w:trPr>
        <w:tc>
          <w:tcPr>
            <w:tcW w:w="8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62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FF0FC"/>
          </w:tcPr>
          <w:p>
            <w:pPr>
              <w:spacing w:after="0"/>
              <w:rPr>
                <w:sz w:val="19"/>
                <w:szCs w:val="19"/>
                <w:color w:val="auto"/>
              </w:rPr>
            </w:pPr>
          </w:p>
        </w:tc>
      </w:tr>
      <w:tr>
        <w:trPr>
          <w:trHeight w:val="20"/>
        </w:trPr>
        <w:tc>
          <w:tcPr>
            <w:tcW w:w="8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-454025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121" w:lineRule="exact"/>
        <w:rPr>
          <w:sz w:val="20"/>
          <w:szCs w:val="20"/>
          <w:color w:val="auto"/>
        </w:rPr>
      </w:pPr>
    </w:p>
    <w:p>
      <w:pPr>
        <w:jc w:val="both"/>
        <w:ind w:right="100" w:firstLine="509"/>
        <w:spacing w:after="0" w:line="282" w:lineRule="auto"/>
        <w:rPr>
          <w:sz w:val="20"/>
          <w:szCs w:val="20"/>
          <w:color w:val="auto"/>
        </w:rPr>
      </w:pPr>
      <w:r>
        <w:rPr>
          <w:rFonts w:ascii="Times New Roman" w:cs="Times New Roman" w:eastAsia="Times New Roman" w:hAnsi="Times New Roman"/>
          <w:sz w:val="18"/>
          <w:szCs w:val="18"/>
          <w:color w:val="auto"/>
        </w:rPr>
        <w:t>In connection with the acquisition of Faeth Therapeutics, Inc. (the "Faeth Acquisition"), the Company assumed the following licensing agreements, each originally entered into by Faeth, to obtain the right to make, use, and sell licensed products currently in development.</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Cornell University</w:t>
      </w:r>
    </w:p>
    <w:p>
      <w:pPr>
        <w:spacing w:after="0" w:line="12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June 2020, Faeth entered into a license agreement (the “Cornell Agreement”) with Cornell University (“Cornell”), pursuant to which Faeth was granted an exclusive, sublicensable, royalty-bearing license to develop and commercialize products using the licensed combination therapy for PI3K associated diseases and disorders. In connection with the Faeth Acquisition, the Company assumed all of Faeth's rights and obligations under the Cornell Agreement. As consideration for the Cornell Agreement, the Company agreed to pay annual license fees of $0.1 million on the anniversary of the agreement. The license fees are recorded as research and development expense in the statements of operations and comprehensive loss as the acquired license represents in-process research and development with no alternative future use. Under the Cornell Agreement, the Company is required to pay up to an aggregate of $6.2 million upon the achievement of certain development and commercial milestones. The Company is also required to pay royalties to Cornell in the low to mid single digit percentage range based on net sales of licensed products. The development milestone payment will be recorded when the milestone is achieved, and the commercial milestone payment and royalties will be recorded when the sales occur. During the three months ended March 31, 2026 and 2025, no payments were made for annual fees. As of March 31, 2026, no milestones were achieved.</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Cancer Research Technology Limited (CRT)</w:t>
      </w:r>
    </w:p>
    <w:p>
      <w:pPr>
        <w:spacing w:after="0" w:line="12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In June 2020, Faeth entered into a license agreement (the “CRT Agreement”) with Cancer Research Technology Limited (“CRT”), who is wholly owned by Cancer Research UK, pursuant to which Faeth was granted an exclusive, sublicensable, royalty-bearing license to develop and commercialize FTH-002, or other products with dietary modulation of amino acids. In connection with the Faeth Acquisition, the Company assumed all of Faeth's rights and obligations under the CRT Agreement. As consideration for the CRT Agreement, the Company paid an upfront fee of $0.1 million in 2020 which was recorded as research and development expense in the statements of operations and comprehensive loss as the acquired license represents in-process research and development with no alternative future use. Under the CRT Agreement, the Company is required to pay up to an aggregate of £7.9 million related to the achievement of certain development and commercial milestones and up to an aggregate of £18.1 million related to the achievement of</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5" w:name="page16"/>
    <w:bookmarkEnd w:id="15"/>
    <w:p>
      <w:pPr>
        <w:spacing w:after="0" w:line="261" w:lineRule="auto"/>
        <w:rPr>
          <w:sz w:val="20"/>
          <w:szCs w:val="20"/>
          <w:color w:val="auto"/>
        </w:rPr>
      </w:pPr>
      <w:r>
        <w:rPr>
          <w:rFonts w:ascii="Times New Roman" w:cs="Times New Roman" w:eastAsia="Times New Roman" w:hAnsi="Times New Roman"/>
          <w:sz w:val="18"/>
          <w:szCs w:val="18"/>
          <w:color w:val="auto"/>
        </w:rPr>
        <w:t>certain partnership milestones. In addition, the Company is required to pay royalties to CRT in the low to mid single-digit percentage range based on net sales of licensed products and sublicense royalty fees in the low double-digit percentage range for any revenue derived from sublicensing. The development milestone payment will be recorded when the milestone is achieved, and the commercial milestone payment, royalties, and sublicense revenues will be recorded when the sales occur. As of March 31, 2026, no milestones have been achieved.</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Ravenna Pharmaceuticals (Takeda)</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February 2021, Faeth entered into the Ravenna Agreement, pursuant to which Faeth was granted intellectual property and existing data and agreements to develop and commercialize FTH-001 and FTH-003 in exchange for an upfront fee of $0.5 million. In connection with the Faeth Acquisition, the Company assumed all of Faeth's rights and obligations under the Ravenna Agreement. The upfront payment was recorded as research and development expense in the statements of operations and comprehensive loss because the acquired assets represented in-process research and development with no alternative future use.</w:t>
      </w:r>
    </w:p>
    <w:p>
      <w:pPr>
        <w:spacing w:after="0" w:line="12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As part of the Ravenna Agreement, the Company assumed the Takeda Agreement pursuant to which the Company is required to pay up to an aggregate of $124.0 million related to the achievement of certain development and commercial milestones. The Company is also required to pay royalties to Takeda in the low to mid-single-digit percentage range based on net sales of licensed products. The development milestone payment will be recorded when the milestone is achieved, and the commercial milestone payment, royalties, and sublicense revenues will be recorded when the sales occur. As of March 31, 2026, no milestones have been achieved.</w:t>
      </w:r>
    </w:p>
    <w:p>
      <w:pPr>
        <w:spacing w:after="0" w:line="12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As additional consideration under the Takeda Agreement, the Company was required to issue up to $15.0 million in equity to Takeda upon the first dosing in a Phase 3 clinical trial. In January 2026, this provision was renegotiated and removed in its entirety.</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Calithera Biosciences (Millennium Takeda)</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May 2023, Faeth entered into a purchase agreement (the “Calithera Agreement”) with Calithera Biosciences (“Calithera”) under which Faeth was granted intellectual property and existing data and agreements to develop and commercialize FTH-001 and FTH-003. In connection with the Faeth Acquisition, the Company assumed all of Faeth's rights and obligations under the Calithera Agreement. As consideration for the Calithera Agreement, the Company paid an upfront fee of $0.4 million. The payments were recorded as research and development expense in the statements of operations and comprehensive loss because the acquired assets represented in-process research and development with no alternative future use.</w:t>
      </w:r>
    </w:p>
    <w:p>
      <w:pPr>
        <w:spacing w:after="0" w:line="1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As part of the Calithera Agreement, the Company assumed existing license agreements with the Regents of the University of California (the “University of California Agreement”) and Millennium Pharmaceuticals (the “Millennium Agreement”). Under the University of California Agreement, the Company is required to pay up to an aggregate of $1.0 million per licensed product related to the achievement of certain development and commercial milestones, of which $0.8 million remains unpaid as of March 31, 2026. The Company is also required to pay tiered low single-digit royalties based on net sales of licensed products and a low double-digit percentage based on sublicense income if the Company sublicenses the rights granted under the University of California Agreement. Under the Millennium Agreement, the Company is required to pay up to an aggregate of $119.0 million in development, regulatory and commercial launch milestone payments and up to an aggregate of $250.0 million in sales milestone payments. The Company is also required to pay tiered single-digit royalties based on annual net sales of licensed products. Under both agreements, the development milestone payment will be recorded when the milestone is achieved, and the commercial milestone payment and royalties will be recorded when the sales occur. As of March 31, 2026, no milestones have been achieved under either agreement.</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 records estimated losses from loss contingencies, such as a loss arising from litigation, when it determines that it is probable a liability has been incurred and the amount of loss can be reasonably estimated. Litigation is subject to many factors that are difficult to predict so that there can be no assurance, in the event of a material unfavorable result in one or more claims, the Company will not incur material costs.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 w:name="page17"/>
    <w:bookmarkEnd w:id="16"/>
    <w:p>
      <w:pPr>
        <w:ind w:right="5460"/>
        <w:spacing w:after="0" w:line="374" w:lineRule="auto"/>
        <w:rPr>
          <w:sz w:val="20"/>
          <w:szCs w:val="20"/>
          <w:color w:val="auto"/>
        </w:rPr>
      </w:pPr>
      <w:r>
        <w:rPr>
          <w:rFonts w:ascii="Times New Roman" w:cs="Times New Roman" w:eastAsia="Times New Roman" w:hAnsi="Times New Roman"/>
          <w:sz w:val="18"/>
          <w:szCs w:val="18"/>
          <w:b w:val="1"/>
          <w:bCs w:val="1"/>
          <w:color w:val="auto"/>
        </w:rPr>
        <w:t xml:space="preserve">8. ACCOUNTS PAYABLE AND CURRENT ACCRUED EXPENSES </w:t>
      </w:r>
      <w:r>
        <w:rPr>
          <w:rFonts w:ascii="Times New Roman" w:cs="Times New Roman" w:eastAsia="Times New Roman" w:hAnsi="Times New Roman"/>
          <w:sz w:val="18"/>
          <w:szCs w:val="18"/>
          <w:color w:val="auto"/>
        </w:rPr>
        <w:t>Accounts payable and accrued liabilities consist of the following (in thousands):</w:t>
      </w:r>
    </w:p>
    <w:tbl>
      <w:tblPr>
        <w:tblLayout w:type="fixed"/>
        <w:tblInd w:w="0" w:type="dxa"/>
        <w:tblCellMar>
          <w:top w:w="0" w:type="dxa"/>
          <w:left w:w="0" w:type="dxa"/>
          <w:bottom w:w="0" w:type="dxa"/>
          <w:right w:w="0" w:type="dxa"/>
        </w:tblCellMar>
      </w:tblPr>
      <w:tr>
        <w:trPr>
          <w:trHeight w:val="149"/>
        </w:trPr>
        <w:tc>
          <w:tcPr>
            <w:tcW w:w="642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16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420" w:type="dxa"/>
            <w:vAlign w:val="bottom"/>
          </w:tcPr>
          <w:p>
            <w:pPr>
              <w:spacing w:after="0"/>
              <w:rPr>
                <w:sz w:val="15"/>
                <w:szCs w:val="15"/>
                <w:color w:val="auto"/>
              </w:rPr>
            </w:pPr>
          </w:p>
        </w:tc>
        <w:tc>
          <w:tcPr>
            <w:tcW w:w="13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jc w:val="right"/>
              <w:ind w:right="10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09"/>
        </w:trPr>
        <w:tc>
          <w:tcPr>
            <w:tcW w:w="6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300" w:type="dxa"/>
            <w:vAlign w:val="bottom"/>
            <w:shd w:val="clear" w:color="auto" w:fill="CFF0FC"/>
          </w:tcPr>
          <w:p>
            <w:pPr>
              <w:jc w:val="right"/>
              <w:ind w:right="111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3,418</w:t>
            </w:r>
          </w:p>
        </w:tc>
        <w:tc>
          <w:tcPr>
            <w:tcW w:w="8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shd w:val="clear" w:color="auto" w:fill="CFF0FC"/>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5,428</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tcPr>
          <w:p>
            <w:pPr>
              <w:spacing w:after="0"/>
              <w:rPr>
                <w:sz w:val="18"/>
                <w:szCs w:val="18"/>
                <w:color w:val="auto"/>
              </w:rPr>
            </w:pPr>
          </w:p>
        </w:tc>
      </w:tr>
      <w:tr>
        <w:trPr>
          <w:trHeight w:val="216"/>
        </w:trPr>
        <w:tc>
          <w:tcPr>
            <w:tcW w:w="6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30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38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2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tcPr>
          <w:p>
            <w:pPr>
              <w:jc w:val="right"/>
              <w:ind w:right="111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8,982</w:t>
            </w: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00" w:type="dxa"/>
            <w:vAlign w:val="bottom"/>
          </w:tcPr>
          <w:p>
            <w:pPr>
              <w:spacing w:after="0"/>
              <w:rPr>
                <w:sz w:val="18"/>
                <w:szCs w:val="18"/>
                <w:color w:val="auto"/>
              </w:rPr>
            </w:pPr>
          </w:p>
        </w:tc>
      </w:tr>
      <w:tr>
        <w:trPr>
          <w:trHeight w:val="20"/>
        </w:trPr>
        <w:tc>
          <w:tcPr>
            <w:tcW w:w="64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-170815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REDEEMABLE CONVERTIBLE PREFERRED STOCK</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In conjunction with the Merger Agreement, on February 17, 2026, the Board adopted the Certificate of Designation, which authorized the issuance of 25,045 shares of Series B Preferred Stock, par value of $0.0001 per share.</w:t>
      </w:r>
    </w:p>
    <w:p>
      <w:pPr>
        <w:spacing w:after="0" w:line="94" w:lineRule="exact"/>
        <w:rPr>
          <w:sz w:val="20"/>
          <w:szCs w:val="20"/>
          <w:color w:val="auto"/>
        </w:rPr>
      </w:pPr>
    </w:p>
    <w:p>
      <w:pPr>
        <w:jc w:val="both"/>
        <w:ind w:right="620" w:firstLine="509"/>
        <w:spacing w:after="0" w:line="266" w:lineRule="auto"/>
        <w:rPr>
          <w:sz w:val="20"/>
          <w:szCs w:val="20"/>
          <w:color w:val="auto"/>
        </w:rPr>
      </w:pPr>
      <w:r>
        <w:rPr>
          <w:rFonts w:ascii="Times New Roman" w:cs="Times New Roman" w:eastAsia="Times New Roman" w:hAnsi="Times New Roman"/>
          <w:sz w:val="18"/>
          <w:szCs w:val="18"/>
          <w:color w:val="auto"/>
        </w:rPr>
        <w:t>Under the terms of the Merger Agreement, the Company issued to the stockholders of Faeth an aggregate of 10,497.0980 shares of Series B Preferred Stock, representing 10,497,098 shares of Common Stock on an as-converted-to-common basis and without giving effect to any beneficial ownership limitations.</w:t>
      </w:r>
    </w:p>
    <w:p>
      <w:pPr>
        <w:spacing w:after="0" w:line="9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Concurrently with the Acquisition, the Company entered into the Purchase Agreement with new and returning investors to raise $200.0 million of gross proceeds in which investors were issued an aggregate of 14,440.395 shares of Series B Preferred Stock, or 14,440,395 on an as-converted-to-common basis and without giving effect to any beneficial ownership limitations, at a price of $13,850 per share, or $13.85 per share on an as-converted-to-common basis. The 2026 Private Placement closed on February 20, 2026.</w:t>
      </w:r>
    </w:p>
    <w:p>
      <w:pPr>
        <w:spacing w:after="0" w:line="11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Subject to the receipt of stockholder approval of the Company Stockholder Matters, each share of Series B Preferred Stock will automatically convert into 1,000 shares of Common Stock, subject to certain beneficial ownership limitations established by each holder. As the Series B Preferred Stock contains a cash settlement provision that is outside the control of the Company, the Series B Preferred Stock is classified in temporary equity.</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holders of Preferred Stock have the following rights, preferences and privileges:</w:t>
      </w:r>
    </w:p>
    <w:p>
      <w:pPr>
        <w:spacing w:after="0" w:line="1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Holders of the Series B Preferred Stock shall have no voting rights. However, as long as any shares of Series B Preferred Stock are outstanding, the Company shall not, without the affirmative vote of the majority of outstanding shares of Series B Preferred Stock (i) alter or change adversely the powers, preferences or rights given to the Series B Preferred Stock, (ii) issue further shares of Series B Preferred Stock or increase or decrease the number of authorized shares of Series B Preferred Stock, (iii) consummate either a merger or consolidation or other business combination in which stockholders of the Company do not hold at least a majority of the voting power, (iv) authorize or issue any class or series of stock that has powers, preferences or rights that are senior to those of the Series B Preferred Stock, or (v) amend, waive or modify the Merger Agreement in any manner that would be reasonably likely to prevent, impede or materially delay the stockholder approval or conversion of Series B Preferred Stock.</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Holders of outstanding shares of Series B Preferred Stock are entitled to receive dividends on shares of Series B Preferred Stock, on an as-converted basis to common stock, equal to and in the same form and manner as dividends paid on shares of common stock.</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Liquidation Preference</w:t>
      </w:r>
    </w:p>
    <w:p>
      <w:pPr>
        <w:spacing w:after="0" w:line="11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the corporation, the holders of shares of the Series B Preferred Stock shall be entitled to receive out of the assets, whether capital or surplus, of the Company the same amount that a holder of common stock would receive if the Series B Preferred Stock were fully converted to common stock and amounts shall</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be paid pari passu with all holders of Common Stock, plus an additional amount equal to any dividends declared on but unpaid to such shares.</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Redemption</w:t>
      </w:r>
    </w:p>
    <w:p>
      <w:pPr>
        <w:spacing w:after="0" w:line="11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Series B Preferred Stock does not have redemption rights. However, if the Company fails to obtain shareholder approval within six months of the initial issuance of Series B Preferred Stock, shares of Series B Preferred Stock become eligible for cash settlement at the option of the holder for a fair value equal to the closing price of the Company’s common stock on the last trading day prior to the date that the notice for cash settlement is delivered from the holder to the Company.</w:t>
      </w:r>
    </w:p>
    <w:p>
      <w:pPr>
        <w:spacing w:after="0" w:line="1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Conversion</w:t>
      </w:r>
    </w:p>
    <w:p>
      <w:pPr>
        <w:spacing w:after="0" w:line="11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Each share of Series B Preferred Stock shall automatically convert at a conversion ratio of 1,000 shares of common stock for each share of Series B Preferred Stock on the third business day after stockholder approval of the Company Stockholder Matters.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EQUITY</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Each share of common stock entitles the holder to one vote on all matters submitted to a vote of the Company’s stockholders. Common stockholders are not entitled to receive dividends, unless declared by the board of directors.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There was no common stock warrant activity related to common stock warrants issued in conjunction with equity and debt fundraising events for the three months ended March 31, 2026. The following is a summary of the common stock warrants outstanding at March 31, 2026 and December 31, 2025:</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restart"/>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2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Common</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2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2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Value (in</w:t>
            </w:r>
          </w:p>
        </w:tc>
        <w:tc>
          <w:tcPr>
            <w:tcW w:w="0" w:type="dxa"/>
            <w:vAlign w:val="bottom"/>
          </w:tcPr>
          <w:p>
            <w:pPr>
              <w:spacing w:after="0"/>
              <w:rPr>
                <w:sz w:val="1"/>
                <w:szCs w:val="1"/>
                <w:color w:val="auto"/>
              </w:rPr>
            </w:pPr>
          </w:p>
        </w:tc>
      </w:tr>
      <w:tr>
        <w:trPr>
          <w:trHeight w:val="173"/>
        </w:trPr>
        <w:tc>
          <w:tcPr>
            <w:tcW w:w="524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center"/>
              <w:ind w:right="342"/>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36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2,185.04</w:t>
            </w:r>
          </w:p>
        </w:tc>
        <w:tc>
          <w:tcPr>
            <w:tcW w:w="13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620" w:type="dxa"/>
            <w:vAlign w:val="bottom"/>
            <w:tcBorders>
              <w:bottom w:val="single" w:sz="8" w:color="CFF0FC"/>
            </w:tcBorders>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FF0FC"/>
            </w:tcBorders>
            <w:gridSpan w:val="2"/>
            <w:shd w:val="clear" w:color="auto" w:fill="CFF0FC"/>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2,185.04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-170815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2018 Equity Incentive Plan</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Company’s 2018 Stock Incentive Plan (the “2018 Plan”) provided for the Company to grant qualified incentive options, nonqualified options, stock grants and other stock-based awards to employees and non-employees to purchase the Company’s common stock. Upon the effectiveness of the 2021 Plan (as defined below), the Company ceased issuing new awards under the 2018 Plan.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Equity Incentive Plan</w:t>
      </w:r>
    </w:p>
    <w:p>
      <w:pPr>
        <w:spacing w:after="0" w:line="12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The 2021 Plan became effective in February 2021. The 2021 Plan provides for the grant of incentive stock options to employees, including employees of any parent or subsidiary corporations, and for the grant of nonstatutory stock options, stock appreciation rights, restricted stock awards, restricted stock unit awards, performance awards and other forms of stock awards to employees, directors, and consultants, including employees and consultants of the Company’s affiliates. The number of shares initially reserved for issuance under the 2021 Plan was 250,000 (5,000,000 prior to Reverse Stock Split), which began automatically increasing on January 1 of each calendar year, starting on January 1, 2022 through January 1, 2031, in an amount equal to 4.0% of the total number of shares of the Company’s capital stock outstanding on the last day of the calendar month before the date of each automatic increase, or a lesser number of shares determined by the board of directors. As of March 31, 2026, 160,521 shares remained available for issuance pursuant to the 2021 Plan.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Accelerated Options From Acquisition of Faeth</w:t>
      </w:r>
    </w:p>
    <w:p>
      <w:pPr>
        <w:spacing w:after="0" w:line="12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On February 17, 2026, in connection with the Acquisition of Faeth, stock options to purchase 6,338,670 shares of Faeth common stock, held by certain Faeth employees, were immediately exercised by the Faeth employees, of which 4,273,182 options had their vesting accelerated (the “Accelerated Options”). The modification of the terms that resulted in the immediate vesting of the Accelerated Options was executed in contemplation of the Acquisition of Faeth and did not require continued employment or future service by the option holders. The Company recognized $4.8 million of research and development expenses and $6.2 million of general and administrative expenses upon the Acquisition of Faeth representing the fair value of the Accelerated Options on the date of the modification.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Assumed Options From Acquisition of Faeth</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On February 17, 2026, in connection with the Acquisition of Faeth Therapeutics, the Company assumed all outstanding and unexercised stock options to purchase an aggregate of 252,210 shares of common stock. The Assumed Options were converted into options to purchase shares of the Company's common stock using an exchange ratio of approximately 0.1993, with exercise prices ranging from $1.16 to $5.22 per share on an as-converted basis. The Company recognized $0.5 million representing the fair value of the Assumed Options attributable to the pre-combination service period as part of the consideration transferred. The remaining unrecognized compensation expense associated with the unvested Assumed Options will be recognized over their remaining service periods, which range from approximately 0.1 to 3.5 years. See Note 3 for additional information regarding the Acquisition.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Inducement Grants</w:t>
      </w:r>
    </w:p>
    <w:p>
      <w:pPr>
        <w:spacing w:after="0" w:line="121" w:lineRule="exact"/>
        <w:rPr>
          <w:sz w:val="20"/>
          <w:szCs w:val="20"/>
          <w:color w:val="auto"/>
        </w:rPr>
      </w:pPr>
    </w:p>
    <w:p>
      <w:pPr>
        <w:ind w:firstLine="509"/>
        <w:spacing w:after="0" w:line="272" w:lineRule="auto"/>
        <w:rPr>
          <w:sz w:val="20"/>
          <w:szCs w:val="20"/>
          <w:color w:val="auto"/>
        </w:rPr>
      </w:pPr>
      <w:r>
        <w:rPr>
          <w:rFonts w:ascii="Times New Roman" w:cs="Times New Roman" w:eastAsia="Times New Roman" w:hAnsi="Times New Roman"/>
          <w:sz w:val="17"/>
          <w:szCs w:val="17"/>
          <w:color w:val="auto"/>
        </w:rPr>
        <w:t>In connection with the Acquisition, the Company granted inducement nonstatutory stock options to purchase an aggregate of 2,319,891 shares of common stock to former Faeth employees on February 19, 2026, at an exercise price of $27.22 per share, as a material inducement to entering employment with the Company. In addition, on March 11, 2026, the Company granted an inducement nonstatutory stock option to purchase 166,435 shares of common stock at an exercise price of $29.37 per share to a new employee as a material inducement to entering employment with the Company. These stock options will vest over a four-year period, with 25% of the shares underlying each option award vesting on the one-year anniversary of the applicable employees’ new hire date and the remaining 75% of the shares underlying each option award vesting monthly thereafter for three-years. Vesting of each option award is subject to such employee’s continued service with the Company through the applicable vesting dates. These stock options were granted outside of the 2021 Plan as an inducement material to each employee’s acceptance of employment with the Company in accordance with Nasdaq Listing Rule 5635(c)(4).</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2021 ESPP became effective in February 2021. A total of 16,666 shares (333,333 prior to Reverse Stock Split) of common stock were initially reserved for issuance under the 2021 ESPP, which will automatically increase on January 1 of each calendar year, beginning on January 1, 2022 through January 1, 2031, by an amount equal to 1.0% of the total shares of common stock outstanding on December 31st of the preceding calendar year. The purchase price of the shares under the 2021 ESPP are at 85% of the lower of the fair market value of the Company’s common stock on the first trading day of the offering period or on the purchase date. As of March 31, 2026, the Company had issued 12,220 shares under the 2021 ESPP, and 72,853 shares were available to be issued under the same plan.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Company has granted options to purchase shares of common stock to employees pursuant to the 2021 Plan at a weighted average grant date fair value of $7.02 per share during the three months ended March 31, 2026. The Company uses the Black-Scholes option-pricing model to estimate the fair value of the stock options on the applicable grant dates.</w:t>
      </w:r>
    </w:p>
    <w:p>
      <w:pPr>
        <w:spacing w:after="0" w:line="68"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following is a summary of option activity for employee awards under the 2018 Plan, the 2021 Plan and inducement grants for the three months ended March 31, 2026:</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restart"/>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42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420" w:type="dxa"/>
            <w:vAlign w:val="bottom"/>
            <w:gridSpan w:val="2"/>
          </w:tcPr>
          <w:p>
            <w:pPr>
              <w:jc w:val="right"/>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160" w:type="dxa"/>
            <w:vAlign w:val="bottom"/>
          </w:tcPr>
          <w:p>
            <w:pPr>
              <w:spacing w:after="0"/>
              <w:rPr>
                <w:sz w:val="12"/>
                <w:szCs w:val="12"/>
                <w:color w:val="auto"/>
              </w:rPr>
            </w:pPr>
          </w:p>
        </w:tc>
        <w:tc>
          <w:tcPr>
            <w:tcW w:w="94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120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272,244</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80.56</w:t>
            </w:r>
          </w:p>
        </w:tc>
        <w:tc>
          <w:tcPr>
            <w:tcW w:w="14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3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2,488,226</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(77,143)</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Expired</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(10,130)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150.58</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2,673,197</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32.70</w:t>
            </w:r>
          </w:p>
        </w:tc>
        <w:tc>
          <w:tcPr>
            <w:tcW w:w="14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3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20" w:type="dxa"/>
            <w:vAlign w:val="bottom"/>
          </w:tcPr>
          <w:p>
            <w:pPr>
              <w:ind w:left="420"/>
              <w:spacing w:after="0" w:line="196" w:lineRule="exact"/>
              <w:rPr>
                <w:sz w:val="20"/>
                <w:szCs w:val="20"/>
                <w:color w:val="auto"/>
              </w:rPr>
            </w:pPr>
            <w:r>
              <w:rPr>
                <w:rFonts w:ascii="Times New Roman" w:cs="Times New Roman" w:eastAsia="Times New Roman" w:hAnsi="Times New Roman"/>
                <w:sz w:val="18"/>
                <w:szCs w:val="18"/>
                <w:color w:val="auto"/>
              </w:rPr>
              <w:t>Vested or expected to vest as of March 31,2026</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2,673,197</w:t>
            </w:r>
          </w:p>
        </w:tc>
        <w:tc>
          <w:tcPr>
            <w:tcW w:w="22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32.70</w:t>
            </w:r>
          </w:p>
        </w:tc>
        <w:tc>
          <w:tcPr>
            <w:tcW w:w="14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9.65</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12,154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20" w:type="dxa"/>
            <w:vAlign w:val="bottom"/>
            <w:tcBorders>
              <w:bottom w:val="single" w:sz="8" w:color="CFF0FC"/>
            </w:tcBorders>
            <w:shd w:val="clear" w:color="auto" w:fill="CFF0FC"/>
          </w:tcPr>
          <w:p>
            <w:pPr>
              <w:ind w:left="120"/>
              <w:spacing w:after="0" w:line="196" w:lineRule="exact"/>
              <w:rPr>
                <w:sz w:val="20"/>
                <w:szCs w:val="20"/>
                <w:color w:val="auto"/>
              </w:rPr>
            </w:pPr>
            <w:r>
              <w:rPr>
                <w:rFonts w:ascii="Times New Roman" w:cs="Times New Roman" w:eastAsia="Times New Roman" w:hAnsi="Times New Roman"/>
                <w:sz w:val="18"/>
                <w:szCs w:val="18"/>
                <w:color w:val="auto"/>
              </w:rPr>
              <w:t>Exercisable at March 31, 2026</w:t>
            </w: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131,864</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141.78</w:t>
            </w:r>
          </w:p>
        </w:tc>
        <w:tc>
          <w:tcPr>
            <w:tcW w:w="142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5.65</w:t>
            </w:r>
          </w:p>
        </w:tc>
        <w:tc>
          <w:tcPr>
            <w:tcW w:w="340" w:type="dxa"/>
            <w:vAlign w:val="bottom"/>
            <w:tcBorders>
              <w:bottom w:val="single" w:sz="8" w:color="CFF0FC"/>
            </w:tcBorders>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781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-916940</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-350520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-334010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-25400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-7620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the outstanding stock option awards is calculated as the difference between the exercise price and the market price of the Company’s common stock at March 31, 2026. The aggregate intrinsic value of stock options exercised in the three months ended March 31, 2026 was $1.2 million and there were no option exercises for the three months ended March 31, 2025.</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grant date fair value of options vested during the three months ended March 31, 2026 and 2025 was $0.4 million and $0.6 million, respectively.</w:t>
      </w:r>
    </w:p>
    <w:p>
      <w:pPr>
        <w:spacing w:after="0" w:line="225" w:lineRule="exact"/>
        <w:rPr>
          <w:sz w:val="20"/>
          <w:szCs w:val="20"/>
          <w:color w:val="auto"/>
        </w:rPr>
      </w:pPr>
    </w:p>
    <w:p>
      <w:pPr>
        <w:ind w:right="680" w:firstLine="509"/>
        <w:spacing w:after="0" w:line="282" w:lineRule="auto"/>
        <w:rPr>
          <w:sz w:val="20"/>
          <w:szCs w:val="20"/>
          <w:color w:val="auto"/>
        </w:rPr>
      </w:pPr>
      <w:r>
        <w:rPr>
          <w:rFonts w:ascii="Times New Roman" w:cs="Times New Roman" w:eastAsia="Times New Roman" w:hAnsi="Times New Roman"/>
          <w:sz w:val="18"/>
          <w:szCs w:val="18"/>
          <w:color w:val="auto"/>
        </w:rPr>
        <w:t>At March 31, 2026, there was $57.4 million of unrecognized stock-based compensation expense associated with the stock options, which is expected to be recognized over a weighted-average period of 3.77 years.</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granted restricted stock units with service-based vesting conditions.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the restricted stock unit activity during the three months ended March 31, 2026:</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8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768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3"/>
        </w:trPr>
        <w:tc>
          <w:tcPr>
            <w:tcW w:w="7680" w:type="dxa"/>
            <w:vAlign w:val="bottom"/>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December 31, 2025</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(1,505)</w:t>
            </w:r>
          </w:p>
        </w:tc>
        <w:tc>
          <w:tcPr>
            <w:tcW w:w="3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6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March 31, 2026</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80" w:type="dxa"/>
            <w:vAlign w:val="bottom"/>
            <w:tcBorders>
              <w:top w:val="single" w:sz="8" w:color="CFF0FC"/>
              <w:bottom w:val="single" w:sz="8" w:color="CFF0FC"/>
            </w:tcBorders>
            <w:shd w:val="clear" w:color="auto" w:fill="CFF0FC"/>
          </w:tcPr>
          <w:p>
            <w:pPr>
              <w:spacing w:after="0"/>
              <w:rPr>
                <w:sz w:val="21"/>
                <w:szCs w:val="21"/>
                <w:color w:val="auto"/>
              </w:rPr>
            </w:pPr>
          </w:p>
        </w:tc>
        <w:tc>
          <w:tcPr>
            <w:tcW w:w="360" w:type="dxa"/>
            <w:vAlign w:val="bottom"/>
            <w:tcBorders>
              <w:top w:val="single" w:sz="8" w:color="CFF0FC"/>
              <w:bottom w:val="single" w:sz="8" w:color="CFF0FC"/>
            </w:tcBorders>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28.60</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-316865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-8255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-170815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260" w:right="320" w:firstLine="509"/>
        <w:spacing w:after="0" w:line="282" w:lineRule="auto"/>
        <w:rPr>
          <w:sz w:val="20"/>
          <w:szCs w:val="20"/>
          <w:color w:val="auto"/>
        </w:rPr>
      </w:pPr>
      <w:r>
        <w:rPr>
          <w:rFonts w:ascii="Times New Roman" w:cs="Times New Roman" w:eastAsia="Times New Roman" w:hAnsi="Times New Roman"/>
          <w:sz w:val="18"/>
          <w:szCs w:val="18"/>
          <w:color w:val="auto"/>
        </w:rPr>
        <w:t>Pursuant to the 2021 Plan, the Company has historically granted restricted stock units which vest annually over a period of one, two, three or four years. The Company granted no restricted stock units during the three months ended March 31, 2026.</w:t>
      </w:r>
    </w:p>
    <w:p>
      <w:pPr>
        <w:spacing w:after="0" w:line="54" w:lineRule="exact"/>
        <w:rPr>
          <w:sz w:val="20"/>
          <w:szCs w:val="20"/>
          <w:color w:val="auto"/>
        </w:rPr>
      </w:pPr>
    </w:p>
    <w:p>
      <w:pPr>
        <w:ind w:left="260" w:right="2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2026, unrecognized stock-based compensation expense associated with the restricted stock units was immaterial and is expected to be recognized over a weighted-average period of 0.88 years.</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the common stock warrant activity during the three months ended March 31, 2026:</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vMerge w:val="restart"/>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60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Common</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102"/>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60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122"/>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Value (in</w:t>
            </w:r>
          </w:p>
        </w:tc>
        <w:tc>
          <w:tcPr>
            <w:tcW w:w="0" w:type="dxa"/>
            <w:vAlign w:val="bottom"/>
          </w:tcPr>
          <w:p>
            <w:pPr>
              <w:spacing w:after="0"/>
              <w:rPr>
                <w:sz w:val="1"/>
                <w:szCs w:val="1"/>
                <w:color w:val="auto"/>
              </w:rPr>
            </w:pPr>
          </w:p>
        </w:tc>
      </w:tr>
      <w:tr>
        <w:trPr>
          <w:trHeight w:val="149"/>
        </w:trPr>
        <w:tc>
          <w:tcPr>
            <w:tcW w:w="60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122"/>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173"/>
        </w:trPr>
        <w:tc>
          <w:tcPr>
            <w:tcW w:w="602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and exercisable at December 31, 2025</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40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217.49</w:t>
            </w:r>
          </w:p>
        </w:tc>
        <w:tc>
          <w:tcPr>
            <w:tcW w:w="12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3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FF0FC"/>
            </w:tcBorders>
            <w:gridSpan w:val="2"/>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and exercisable at March 31, 2026</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217.49</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-170815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left="5540" w:right="1380" w:hanging="5016"/>
        <w:spacing w:after="0" w:line="532" w:lineRule="auto"/>
        <w:rPr>
          <w:sz w:val="20"/>
          <w:szCs w:val="20"/>
          <w:color w:val="auto"/>
        </w:rPr>
      </w:pPr>
      <w:r>
        <w:rPr>
          <w:rFonts w:ascii="Times New Roman" w:cs="Times New Roman" w:eastAsia="Times New Roman" w:hAnsi="Times New Roman"/>
          <w:sz w:val="18"/>
          <w:szCs w:val="18"/>
          <w:color w:val="auto"/>
        </w:rPr>
        <w:t>As of March 31, 2026 there was no unrecognized stock-based compensation expense associated with the common stock warrants.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9" w:right="339" w:bottom="1440" w:gutter="0" w:footer="0" w:header="0"/>
        </w:sectPr>
      </w:pPr>
    </w:p>
    <w:bookmarkStart w:id="20" w:name="page21"/>
    <w:bookmarkEnd w:id="20"/>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and 2025, respectively, the Company utilized the Black-Scholes option-pricing model for estimating the fair value of the stock options and common stock warrants granted. The following table presents the assumptions and the Company’s methodology for developing each of the assumptions used: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40" w:type="dxa"/>
            <w:vAlign w:val="bottom"/>
          </w:tcPr>
          <w:p>
            <w:pPr>
              <w:spacing w:after="0"/>
              <w:rPr>
                <w:sz w:val="15"/>
                <w:szCs w:val="15"/>
                <w:color w:val="auto"/>
              </w:rPr>
            </w:pPr>
          </w:p>
        </w:tc>
        <w:tc>
          <w:tcPr>
            <w:tcW w:w="3940" w:type="dxa"/>
            <w:vAlign w:val="bottom"/>
            <w:tcBorders>
              <w:bottom w:val="single" w:sz="8" w:color="auto"/>
            </w:tcBorders>
            <w:gridSpan w:val="3"/>
          </w:tcPr>
          <w:p>
            <w:pPr>
              <w:ind w:left="14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1360" w:type="dxa"/>
            <w:vAlign w:val="bottom"/>
            <w:tcBorders>
              <w:bottom w:val="single" w:sz="8" w:color="auto"/>
            </w:tcBorders>
          </w:tcPr>
          <w:p>
            <w:pPr>
              <w:spacing w:after="0"/>
              <w:rPr>
                <w:sz w:val="15"/>
                <w:szCs w:val="15"/>
                <w:color w:val="auto"/>
              </w:rPr>
            </w:pPr>
          </w:p>
        </w:tc>
      </w:tr>
      <w:tr>
        <w:trPr>
          <w:trHeight w:val="142"/>
        </w:trPr>
        <w:tc>
          <w:tcPr>
            <w:tcW w:w="5940" w:type="dxa"/>
            <w:vAlign w:val="bottom"/>
          </w:tcPr>
          <w:p>
            <w:pPr>
              <w:spacing w:after="0"/>
              <w:rPr>
                <w:sz w:val="12"/>
                <w:szCs w:val="12"/>
                <w:color w:val="auto"/>
              </w:rPr>
            </w:pPr>
          </w:p>
        </w:tc>
        <w:tc>
          <w:tcPr>
            <w:tcW w:w="27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2026</w:t>
            </w:r>
          </w:p>
        </w:tc>
        <w:tc>
          <w:tcPr>
            <w:tcW w:w="32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center"/>
              <w:ind w:right="7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w:t>
            </w:r>
          </w:p>
        </w:tc>
        <w:tc>
          <w:tcPr>
            <w:tcW w:w="2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95%-122%</w:t>
            </w: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360" w:type="dxa"/>
            <w:vAlign w:val="bottom"/>
            <w:shd w:val="clear" w:color="auto" w:fill="CFF0FC"/>
          </w:tcPr>
          <w:p>
            <w:pPr>
              <w:jc w:val="center"/>
              <w:ind w:right="774"/>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2.3-6.1</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60" w:type="dxa"/>
            <w:vAlign w:val="bottom"/>
          </w:tcPr>
          <w:p>
            <w:pPr>
              <w:jc w:val="center"/>
              <w:ind w:right="774"/>
              <w:spacing w:after="0"/>
              <w:rPr>
                <w:sz w:val="20"/>
                <w:szCs w:val="20"/>
                <w:color w:val="auto"/>
              </w:rPr>
            </w:pPr>
            <w:r>
              <w:rPr>
                <w:rFonts w:ascii="Times New Roman" w:cs="Times New Roman" w:eastAsia="Times New Roman" w:hAnsi="Times New Roman"/>
                <w:sz w:val="18"/>
                <w:szCs w:val="18"/>
                <w:color w:val="auto"/>
                <w:w w:val="97"/>
              </w:rPr>
              <w:t>6.0</w:t>
            </w:r>
          </w:p>
        </w:tc>
      </w:tr>
      <w:tr>
        <w:trPr>
          <w:trHeight w:val="216"/>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3.5%-3.9%</w:t>
            </w: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360" w:type="dxa"/>
            <w:vAlign w:val="bottom"/>
            <w:shd w:val="clear" w:color="auto" w:fill="CFF0FC"/>
          </w:tcPr>
          <w:p>
            <w:pPr>
              <w:jc w:val="center"/>
              <w:ind w:right="774"/>
              <w:spacing w:after="0"/>
              <w:rPr>
                <w:sz w:val="20"/>
                <w:szCs w:val="20"/>
                <w:color w:val="auto"/>
              </w:rPr>
            </w:pPr>
            <w:r>
              <w:rPr>
                <w:rFonts w:ascii="Times New Roman" w:cs="Times New Roman" w:eastAsia="Times New Roman" w:hAnsi="Times New Roman"/>
                <w:sz w:val="18"/>
                <w:szCs w:val="18"/>
                <w:color w:val="auto"/>
              </w:rPr>
              <w:t>4.4%</w:t>
            </w: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3940" w:type="dxa"/>
            <w:vAlign w:val="bottom"/>
            <w:gridSpan w:val="3"/>
          </w:tcPr>
          <w:p>
            <w:pPr>
              <w:jc w:val="center"/>
              <w:ind w:right="1180"/>
              <w:spacing w:after="0"/>
              <w:rPr>
                <w:sz w:val="20"/>
                <w:szCs w:val="20"/>
                <w:color w:val="auto"/>
              </w:rPr>
            </w:pPr>
            <w:r>
              <w:rPr>
                <w:rFonts w:ascii="Times New Roman" w:cs="Times New Roman" w:eastAsia="Times New Roman" w:hAnsi="Times New Roman"/>
                <w:sz w:val="18"/>
                <w:szCs w:val="18"/>
                <w:color w:val="auto"/>
                <w:w w:val="96"/>
              </w:rPr>
              <w:t>—%</w:t>
            </w:r>
          </w:p>
        </w:tc>
        <w:tc>
          <w:tcPr>
            <w:tcW w:w="1360" w:type="dxa"/>
            <w:vAlign w:val="bottom"/>
          </w:tcPr>
          <w:p>
            <w:pPr>
              <w:jc w:val="center"/>
              <w:ind w:right="774"/>
              <w:spacing w:after="0"/>
              <w:rPr>
                <w:sz w:val="20"/>
                <w:szCs w:val="20"/>
                <w:color w:val="auto"/>
              </w:rPr>
            </w:pPr>
            <w:r>
              <w:rPr>
                <w:rFonts w:ascii="Times New Roman" w:cs="Times New Roman" w:eastAsia="Times New Roman" w:hAnsi="Times New Roman"/>
                <w:sz w:val="18"/>
                <w:szCs w:val="18"/>
                <w:color w:val="auto"/>
              </w:rPr>
              <w:t>—%</w:t>
            </w:r>
          </w:p>
        </w:tc>
      </w:tr>
    </w:tbl>
    <w:p>
      <w:pPr>
        <w:spacing w:after="0" w:line="314" w:lineRule="exact"/>
        <w:rPr>
          <w:sz w:val="20"/>
          <w:szCs w:val="20"/>
          <w:color w:val="auto"/>
        </w:rPr>
      </w:pPr>
    </w:p>
    <w:p>
      <w:pPr>
        <w:ind w:left="1040" w:right="40" w:hanging="523"/>
        <w:spacing w:after="0" w:line="266"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Volatility—The Company lacks sufficient Company-specific historical and implied volatility information. Therefore, it estimates its expected stock volatility based on the historical volatility of a publicly traded set of peer companies in addition to its own historical volatility and will continue to do so until it has adequate historical data regarding the volatility of its own traded stock price.</w:t>
      </w:r>
    </w:p>
    <w:p>
      <w:pPr>
        <w:spacing w:after="0" w:line="6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term—The Company calculates the expected term of options using the simplified method, as the Company lacks relevant historical data due to the Company’s limited operating experience.</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rate—The risk-free rate for periods within the estimated life of the stock award is based on the U.S. Treasury yield curve in effect at the time of grant.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rate—The assumed dividend yield is based upon the Company’s expectation of not paying dividends in the foreseeable future.</w:t>
      </w:r>
    </w:p>
    <w:p>
      <w:pPr>
        <w:spacing w:after="0" w:line="225"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Stock-based compensation expense was recorded in the following line items in the condensed consolidated statements of operations for the three months ended March 31, 2026 and 2025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900" w:type="dxa"/>
            <w:vAlign w:val="bottom"/>
            <w:tcBorders>
              <w:bottom w:val="single" w:sz="8" w:color="auto"/>
            </w:tcBorders>
            <w:gridSpan w:val="4"/>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3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38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5,498</w:t>
            </w:r>
          </w:p>
        </w:tc>
        <w:tc>
          <w:tcPr>
            <w:tcW w:w="138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7,400</w:t>
            </w:r>
          </w:p>
        </w:tc>
        <w:tc>
          <w:tcPr>
            <w:tcW w:w="28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18"/>
                <w:szCs w:val="18"/>
                <w:color w:val="auto"/>
              </w:rPr>
            </w:pPr>
          </w:p>
        </w:tc>
      </w:tr>
      <w:tr>
        <w:trPr>
          <w:trHeight w:val="22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38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12,898</w:t>
            </w:r>
          </w:p>
        </w:tc>
        <w:tc>
          <w:tcPr>
            <w:tcW w:w="138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shd w:val="clear" w:color="auto" w:fill="CFF0FC"/>
          </w:tcPr>
          <w:p>
            <w:pPr>
              <w:spacing w:after="0"/>
              <w:rPr>
                <w:sz w:val="19"/>
                <w:szCs w:val="19"/>
                <w:color w:val="auto"/>
              </w:rPr>
            </w:pPr>
          </w:p>
        </w:tc>
      </w:tr>
      <w:tr>
        <w:trPr>
          <w:trHeight w:val="20"/>
        </w:trPr>
        <w:tc>
          <w:tcPr>
            <w:tcW w:w="5360" w:type="dxa"/>
            <w:vAlign w:val="bottom"/>
            <w:tcBorders>
              <w:top w:val="single" w:sz="8" w:color="CFF0FC"/>
            </w:tcBorders>
            <w:shd w:val="clear" w:color="auto" w:fill="CFF0FC"/>
          </w:tcPr>
          <w:p>
            <w:pPr>
              <w:spacing w:after="0" w:line="20" w:lineRule="exact"/>
              <w:rPr>
                <w:sz w:val="1"/>
                <w:szCs w:val="1"/>
                <w:color w:val="auto"/>
              </w:rPr>
            </w:pPr>
          </w:p>
        </w:tc>
        <w:tc>
          <w:tcPr>
            <w:tcW w:w="24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EMPLOYEE RETIREMENT PLAN</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Company maintains a defined contribution 401(k) plan (the “Plan”) for all employees. Under the Plan, participants may make voluntary contributions up to the maximum amount allowable by law. The Plan is based on employees’ salary deferral, and the Company matches employees’ contributions up to 4% of the employees’ base salary. Employees are 100% vested in the Company’s match contributions. During each of the three months ended March 31, 2026 and 2025, the Company’s matching contributions were less than $0.1 million.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COMPENSATION AND EMPLOYEE BENEFITS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and employee benefits consist of the following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280" w:type="dxa"/>
            <w:vAlign w:val="bottom"/>
          </w:tcPr>
          <w:p>
            <w:pPr>
              <w:spacing w:after="0"/>
              <w:rPr>
                <w:sz w:val="15"/>
                <w:szCs w:val="15"/>
                <w:color w:val="auto"/>
              </w:rPr>
            </w:pPr>
          </w:p>
        </w:tc>
        <w:tc>
          <w:tcPr>
            <w:tcW w:w="11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10"/>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incentive compensation</w:t>
            </w:r>
          </w:p>
        </w:tc>
        <w:tc>
          <w:tcPr>
            <w:tcW w:w="1120" w:type="dxa"/>
            <w:vAlign w:val="bottom"/>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FF0FC"/>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Accrued restructuring - compensation (Note 16)</w:t>
            </w:r>
          </w:p>
        </w:tc>
        <w:tc>
          <w:tcPr>
            <w:tcW w:w="1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00" w:type="dxa"/>
            <w:vAlign w:val="bottom"/>
          </w:tcPr>
          <w:p>
            <w:pPr>
              <w:spacing w:after="0"/>
              <w:rPr>
                <w:sz w:val="18"/>
                <w:szCs w:val="18"/>
                <w:color w:val="auto"/>
              </w:rPr>
            </w:pPr>
          </w:p>
        </w:tc>
      </w:tr>
      <w:tr>
        <w:trPr>
          <w:trHeight w:val="216"/>
        </w:trPr>
        <w:tc>
          <w:tcPr>
            <w:tcW w:w="7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compensation related liabilities</w:t>
            </w:r>
          </w:p>
        </w:tc>
        <w:tc>
          <w:tcPr>
            <w:tcW w:w="112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2,455</w:t>
            </w:r>
          </w:p>
        </w:tc>
        <w:tc>
          <w:tcPr>
            <w:tcW w:w="3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4,169</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tcPr>
          <w:p>
            <w:pPr>
              <w:spacing w:after="0"/>
              <w:rPr>
                <w:sz w:val="18"/>
                <w:szCs w:val="18"/>
                <w:color w:val="auto"/>
              </w:rPr>
            </w:pPr>
          </w:p>
        </w:tc>
      </w:tr>
      <w:tr>
        <w:trPr>
          <w:trHeight w:val="20"/>
        </w:trPr>
        <w:tc>
          <w:tcPr>
            <w:tcW w:w="7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-170815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Other compensation related liabilities as of March 31, 2026 consisted primarily of $2.3 million of unpaid tax gross-up expenses related to the accelerated vesting of options held by Faeth employees prior to the Acquisition and $0.1 million of accrued salaries and wages. Other compensation related liabilities for the period ended March 31, 2026 consisted primarily of $0.1 million of accrued salaries and wages.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recorded no provision for income taxes for the three months ended March 31, 2026 and 2025.</w:t>
      </w:r>
    </w:p>
    <w:p>
      <w:pPr>
        <w:spacing w:after="0" w:line="225"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Deferred tax assets and deferred tax liabilities are recognized based on temporary differences between the financial reporting and tax bases of assets and liabilities using statutory rates. Management of the Company has evaluated the positive and negative evidence bearing upon the realizability of its deferred tax assets, which are comprised principally of net operating loss carryforwards, equity-based compensation, research and development tax credit carryforwards, and capitalized research and development expenditures. Under the applicable accounting standards, management has considered the Company’s history of losses and concluded that it is more likely than not that the Company will not recognize the benefits of federal and state deferred tax assets. Accordingly, a full valuation allowance has been established against the Company’s otherwise recognizable net deferred tax assets.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NET LOSS PER SHARE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is calculated as follows (in thousands, except share and per share amounts):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2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142"/>
        </w:trPr>
        <w:tc>
          <w:tcPr>
            <w:tcW w:w="58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55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09"/>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8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(170,236)</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(6,864)</w:t>
            </w:r>
          </w:p>
        </w:tc>
      </w:tr>
      <w:tr>
        <w:trPr>
          <w:trHeight w:val="20"/>
        </w:trPr>
        <w:tc>
          <w:tcPr>
            <w:tcW w:w="5880" w:type="dxa"/>
            <w:vAlign w:val="bottom"/>
            <w:shd w:val="clear" w:color="auto" w:fill="CFF0FC"/>
          </w:tcPr>
          <w:p>
            <w:pPr>
              <w:spacing w:after="0" w:line="20" w:lineRule="exact"/>
              <w:rPr>
                <w:sz w:val="1"/>
                <w:szCs w:val="1"/>
                <w:color w:val="auto"/>
              </w:rPr>
            </w:pPr>
          </w:p>
        </w:tc>
        <w:tc>
          <w:tcPr>
            <w:tcW w:w="18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share—basic and diluted</w:t>
            </w:r>
          </w:p>
        </w:tc>
        <w:tc>
          <w:tcPr>
            <w:tcW w:w="186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(131.45)</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(5.45)</w:t>
            </w:r>
          </w:p>
        </w:tc>
      </w:tr>
      <w:tr>
        <w:trPr>
          <w:trHeight w:val="20"/>
        </w:trPr>
        <w:tc>
          <w:tcPr>
            <w:tcW w:w="58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88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Weighted-average shares outstanding, basic and diluted</w:t>
            </w:r>
          </w:p>
        </w:tc>
        <w:tc>
          <w:tcPr>
            <w:tcW w:w="18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1,295,052</w:t>
            </w: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1,259,531</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-334010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-334010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following outstanding potentially dilutive securities have been excluded from the calculation of diluted net loss per share, as their effect is anti-dilutive: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00" w:type="dxa"/>
            <w:vAlign w:val="bottom"/>
          </w:tcPr>
          <w:p>
            <w:pPr>
              <w:spacing w:after="0"/>
              <w:rPr>
                <w:sz w:val="15"/>
                <w:szCs w:val="15"/>
                <w:color w:val="auto"/>
              </w:rPr>
            </w:pPr>
          </w:p>
        </w:tc>
        <w:tc>
          <w:tcPr>
            <w:tcW w:w="364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142"/>
        </w:trPr>
        <w:tc>
          <w:tcPr>
            <w:tcW w:w="7600" w:type="dxa"/>
            <w:vAlign w:val="bottom"/>
          </w:tcPr>
          <w:p>
            <w:pPr>
              <w:spacing w:after="0"/>
              <w:rPr>
                <w:sz w:val="12"/>
                <w:szCs w:val="12"/>
                <w:color w:val="auto"/>
              </w:rPr>
            </w:pPr>
          </w:p>
        </w:tc>
        <w:tc>
          <w:tcPr>
            <w:tcW w:w="1660" w:type="dxa"/>
            <w:vAlign w:val="bottom"/>
            <w:tcBorders>
              <w:top w:val="single" w:sz="8" w:color="auto"/>
              <w:bottom w:val="single" w:sz="8" w:color="auto"/>
            </w:tcBorders>
          </w:tcPr>
          <w:p>
            <w:pPr>
              <w:jc w:val="right"/>
              <w:ind w:right="59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tcBorders>
          </w:tcPr>
          <w:p>
            <w:pPr>
              <w:spacing w:after="0"/>
              <w:rPr>
                <w:sz w:val="12"/>
                <w:szCs w:val="12"/>
                <w:color w:val="auto"/>
              </w:rPr>
            </w:pPr>
          </w:p>
        </w:tc>
        <w:tc>
          <w:tcPr>
            <w:tcW w:w="1640" w:type="dxa"/>
            <w:vAlign w:val="bottom"/>
            <w:tcBorders>
              <w:top w:val="single" w:sz="8" w:color="auto"/>
              <w:bottom w:val="single" w:sz="8" w:color="auto"/>
            </w:tcBorders>
          </w:tcPr>
          <w:p>
            <w:pPr>
              <w:jc w:val="right"/>
              <w:ind w:right="5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10"/>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2,925,407</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306,551</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100" w:type="dxa"/>
            <w:vAlign w:val="bottom"/>
          </w:tcPr>
          <w:p>
            <w:pPr>
              <w:spacing w:after="0"/>
              <w:rPr>
                <w:sz w:val="18"/>
                <w:szCs w:val="18"/>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 issued to employees and contractors to purchase common stock</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Warrants issued related to convertible notes and other equity agreements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20,609</w:t>
            </w:r>
          </w:p>
        </w:tc>
        <w:tc>
          <w:tcPr>
            <w:tcW w:w="100" w:type="dxa"/>
            <w:vAlign w:val="bottom"/>
          </w:tcPr>
          <w:p>
            <w:pPr>
              <w:spacing w:after="0"/>
              <w:rPr>
                <w:sz w:val="18"/>
                <w:szCs w:val="18"/>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B redeemable convertible preferred stock</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24,939,595</w:t>
            </w:r>
          </w:p>
        </w:tc>
        <w:tc>
          <w:tcPr>
            <w:tcW w:w="2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RESTRUCTURING AND RELATED CHARGES</w:t>
      </w:r>
    </w:p>
    <w:p>
      <w:pPr>
        <w:spacing w:after="0" w:line="121"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In November 2024, the Company announced a restructuring initiative to streamline operations and focus resources on advancing the clinical development of solnerstotug (the “2024 Restructuring”). As part of the 2024 Restructuring, the Company closed its research site in Rockville, Maryland, and reduced its workforce by approximately 46%, with the majority of reductions occurring in the preclinical research and development group. These actions were intended to extend the Company’s cash runway.</w:t>
      </w:r>
    </w:p>
    <w:p>
      <w:pPr>
        <w:spacing w:after="0" w:line="7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October 2025, the Company announced it was exploring strategic alternatives. In November 2025, the Company’s Board of Directors approved a reduction in force of approximately 65% of the Company’s workforce (together with the October 2025 actions, the “2025 Restructuring”) to preserve capital while the Company evaluated potential mergers, asset sales, or other strategic transactions.</w:t>
      </w:r>
    </w:p>
    <w:p>
      <w:pPr>
        <w:spacing w:after="0" w:line="68"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2024 Restructuring and 2025 Restructuring costs are primarily related to one-time termination benefits and ongoing benefit arrangements, both of which included severance payments and extended benefits coverage. Aggregate costs also included certain contract termination costs.</w:t>
      </w:r>
    </w:p>
    <w:p>
      <w:pPr>
        <w:spacing w:after="0" w:line="54"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accrued liabilities activity recorded in connection with the 2024 Restructuring and 2025 Restructuring for the three months ended March 31, 2026 and 2025 respectively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3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Personnel</w:t>
            </w:r>
          </w:p>
        </w:tc>
        <w:tc>
          <w:tcPr>
            <w:tcW w:w="200" w:type="dxa"/>
            <w:vAlign w:val="bottom"/>
          </w:tcPr>
          <w:p>
            <w:pPr>
              <w:spacing w:after="0"/>
              <w:rPr>
                <w:sz w:val="15"/>
                <w:szCs w:val="15"/>
                <w:color w:val="auto"/>
              </w:rPr>
            </w:pPr>
          </w:p>
        </w:tc>
        <w:tc>
          <w:tcPr>
            <w:tcW w:w="7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880" w:type="dxa"/>
            <w:vAlign w:val="bottom"/>
            <w:vMerge w:val="continue"/>
          </w:tcPr>
          <w:p>
            <w:pPr>
              <w:spacing w:after="0"/>
              <w:rPr>
                <w:sz w:val="18"/>
                <w:szCs w:val="18"/>
                <w:color w:val="auto"/>
              </w:rPr>
            </w:pPr>
          </w:p>
        </w:tc>
        <w:tc>
          <w:tcPr>
            <w:tcW w:w="356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Cash payments</w:t>
            </w:r>
          </w:p>
        </w:tc>
        <w:tc>
          <w:tcPr>
            <w:tcW w:w="3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(435)</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10"/>
        </w:trPr>
        <w:tc>
          <w:tcPr>
            <w:tcW w:w="38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at March 31, 2026</w:t>
            </w:r>
          </w:p>
        </w:tc>
        <w:tc>
          <w:tcPr>
            <w:tcW w:w="356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560" w:type="dxa"/>
            <w:vAlign w:val="bottom"/>
            <w:vMerge w:val="restart"/>
          </w:tcPr>
          <w:p>
            <w:pPr>
              <w:jc w:val="right"/>
              <w:ind w:right="1630"/>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880" w:type="dxa"/>
            <w:vAlign w:val="bottom"/>
          </w:tcPr>
          <w:p>
            <w:pPr>
              <w:spacing w:after="0"/>
              <w:rPr>
                <w:sz w:val="24"/>
                <w:szCs w:val="24"/>
                <w:color w:val="auto"/>
              </w:rPr>
            </w:pPr>
          </w:p>
        </w:tc>
        <w:tc>
          <w:tcPr>
            <w:tcW w:w="35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88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-1216660</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-1216660</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73"/>
        </w:trPr>
        <w:tc>
          <w:tcPr>
            <w:tcW w:w="41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Personnel</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35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Restructuring and other costs, net</w:t>
            </w: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Cash payments</w:t>
            </w:r>
          </w:p>
        </w:tc>
        <w:tc>
          <w:tcPr>
            <w:tcW w:w="3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(346)</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10"/>
        </w:trPr>
        <w:tc>
          <w:tcPr>
            <w:tcW w:w="41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332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320" w:type="dxa"/>
            <w:vAlign w:val="bottom"/>
            <w:vMerge w:val="restart"/>
          </w:tcPr>
          <w:p>
            <w:pPr>
              <w:jc w:val="right"/>
              <w:ind w:right="1630"/>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12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12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-1216660</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-1216660</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Certain statements contained in this Quarterly Report on Form 10-Q may constitute forward-looking statements within the meaning of Section 27A of the Securities Act of 1933, as amended, and Section 21E of the Securities Exchange Act of 1934, as amended. The words and phrases “designed to,” “may,” “might,” “can,” “will,” “to be,” “could,” “would,” “should,” “expect,” “intend,” “plan,” “objective,” “anticipate,” “believe,” “estimate,” “predict,” “project,” “potential,” “likely,” “continue,” “ongoing” or similar expressions, or the negative of such words, are intended to identify “forward-looking statements.” We have based these forward-looking statements on our current expectations and projections about future events. Because such statements include risks and uncertainties, actual results may differ materially from those expressed or implied by such forward-looking statements. Factors that could cause or contribute to these differences include those below in this Quarterly Report under the caption “Risk Factors,” and in our other filings with the Securities and Exchange Commission, or SEC. Statements made herein are as of the date of the filing of this Form 10-Q with the SEC and should not be relied upon as of any subsequent date. Unless otherwise required by applicable law, we do not undertake, and we specifically disclaim, any obligation to update any forward-looking statements to reflect occurrences, developments, unanticipated events or circumstances after the date of such statement.</w:t>
      </w:r>
    </w:p>
    <w:p>
      <w:pPr>
        <w:spacing w:after="0" w:line="8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our condensed consolidated financial statements and related notes that appear in Item 1 of this Quarterly Report on Form 10-Q and with our audited consolidated financial statements and related notes for the year ended December 31, 2025, which are included in our Annual Report on Form 10-K filed with the SEC on March 30, 2026.</w:t>
      </w:r>
    </w:p>
    <w:p>
      <w:pPr>
        <w:spacing w:after="0" w:line="7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Unless otherwise indicated, all information in this Quarterly Report on Form 10-Q gives effect to a 1-for-20 reverse stock split of our common stock that became effective on June 16, 2025 (the "Reverse Stock Split"), and all references to historical share and per share amounts give effect to the Reverse Stock Split.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are a clinical-stage biotechnology company focused on improving outcomes for cancer patients through multi-node inhibition of critical oncogenic pathways. On February 17, 2026, we completed the Acquisition of Faeth Therapeutics, a clinical-stage biotechnology company developing multi-node therapies targeting tumor metabolism and signaling, and received $200 million in gross proceeds from the 2026 Private Placement from a broad syndicate of institutional investors. The acquisition brought Faeth's lead asset, PIKTOR, a proprietary investigational all-oral combination of serabelisib and sapanisertib that inhibits multiple nodes of the PI3K/AKT/mTOR pathway, into our pipeline. For additional information regarding the terms of the acquisition and the concurrent financing, see Note 3 to the condensed consolidated financial statements.</w:t>
      </w:r>
    </w:p>
    <w:p>
      <w:pPr>
        <w:spacing w:after="0" w:line="79"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Following the Acquisition, our lead program is PIKTOR, an oral multi-node inhibitor of the PI3K/AKT/mTOR pathway in development for endometrial and breast cancer. The PI3K/AKT/mTOR pathway is dysregulated in up to 50% of all solid tumors, making it one of the most prevalent therapeutic targets in oncology. Our core thesis is that simultaneously suppressing multiple pathway nodes can produce deeper, more durable tumor suppression than approved therapies that target only a single node. PIKTOR is currently being evaluated in an ongoing Phase 2 trial in second-line advanced endometrial cancer (Study FTH-PIK-201), with topline data anticipated in the second half of 2026, and in April 2026 the first patient was dosed in our Phase 1b/2 trial in HR+/HER2- advanced breast cancer (Study FTH-PIK-101), from which we expect to report interim data in 2027. We believe the $200 million in gross financing proceeds, together with our existing cash, cash equivalents and marketable securities, will be sufficient to fund operations through these key clinical milestones.</w:t>
      </w:r>
    </w:p>
    <w:p>
      <w:pPr>
        <w:spacing w:after="0" w:line="84"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Prior to the Acquisition, we were primarily focused on the development of solnerstotug (formerly SNS-101), our conditionally active monoclonal antibody targeting the immune checkpoint VISTA. We are completing the remaining portion of the solnerstotug Phase 1/2 trial with patients currently on study.</w:t>
      </w:r>
    </w:p>
    <w:p>
      <w:pPr>
        <w:spacing w:after="0" w:line="68"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We have incurred significant operating losses since our inception and expect to continue to incur losses for the foreseeable future. Our net loss was $170.2 million and $6.9 million for the three months ended March 31, 2026 and 2025, respectively. As of March 31, 2026, we had an accumulated deficit of $453.4 million and cash, cash equivalents and marketable securities of $202.8 million, which includes $183.1 million in net proceeds received in the 2026 Private Placement. The increase in our net loss for the three months ended March 31, 2026 compared to the same prior year period was primarily attributable to $133.0 million of acquired in-process research and development expense recognized in connection with the Acquisition of Faeth Therapeutics, as well as increased research and development and general and administrative expenses resulting from the integration of Faeth's operations, including stock-based compensation expense related to the accelerated vesting of Faeth employee stock options and related tax gross-up payments.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research and development expense consists of expenses incurred in connection with the discovery and development of our product candidates.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expenses include:</w:t>
      </w:r>
    </w:p>
    <w:p>
      <w:pPr>
        <w:spacing w:after="0" w:line="99" w:lineRule="exact"/>
        <w:rPr>
          <w:sz w:val="20"/>
          <w:szCs w:val="20"/>
          <w:color w:val="auto"/>
        </w:rPr>
      </w:pPr>
    </w:p>
    <w:p>
      <w:pPr>
        <w:ind w:left="780" w:right="80" w:hanging="128"/>
        <w:spacing w:after="0" w:line="282" w:lineRule="auto"/>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third-party contract research organizations, or CROs, as well as investigative sites and consultants that conduct our preclinical studies and clinical trials;</w:t>
      </w:r>
    </w:p>
    <w:p>
      <w:pPr>
        <w:spacing w:after="0" w:line="53" w:lineRule="exact"/>
        <w:rPr>
          <w:rFonts w:ascii="Times New Roman" w:cs="Times New Roman" w:eastAsia="Times New Roman" w:hAnsi="Times New Roman"/>
          <w:sz w:val="18"/>
          <w:szCs w:val="18"/>
          <w:color w:val="auto"/>
        </w:rPr>
      </w:pPr>
    </w:p>
    <w:p>
      <w:pPr>
        <w:ind w:left="780" w:right="80" w:hanging="128"/>
        <w:spacing w:after="0" w:line="266" w:lineRule="auto"/>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 candidates including the cost of third-party contract manufacturing organizations, or CMOs, that manufacture product for use in our preclinical studies and clinical trials and perform analytical testing, scale-up and other services in connection with our development activities;</w:t>
      </w:r>
    </w:p>
    <w:p>
      <w:pPr>
        <w:spacing w:after="0" w:line="67" w:lineRule="exact"/>
        <w:rPr>
          <w:rFonts w:ascii="Times New Roman" w:cs="Times New Roman" w:eastAsia="Times New Roman" w:hAnsi="Times New Roman"/>
          <w:sz w:val="18"/>
          <w:szCs w:val="18"/>
          <w:color w:val="auto"/>
        </w:rPr>
      </w:pPr>
    </w:p>
    <w:p>
      <w:pPr>
        <w:ind w:left="780" w:hanging="128"/>
        <w:spacing w:after="0"/>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outsourced professional scientific development services;</w:t>
      </w:r>
    </w:p>
    <w:p>
      <w:pPr>
        <w:spacing w:after="0" w:line="117" w:lineRule="exact"/>
        <w:rPr>
          <w:rFonts w:ascii="Times New Roman" w:cs="Times New Roman" w:eastAsia="Times New Roman" w:hAnsi="Times New Roman"/>
          <w:sz w:val="18"/>
          <w:szCs w:val="18"/>
          <w:color w:val="auto"/>
        </w:rPr>
      </w:pPr>
    </w:p>
    <w:p>
      <w:pPr>
        <w:ind w:left="780" w:right="720" w:hanging="128"/>
        <w:spacing w:after="0" w:line="282" w:lineRule="auto"/>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and stock-based compensation, severance costs and other related costs for those employees engaged in the research and development function;</w:t>
      </w:r>
    </w:p>
    <w:p>
      <w:pPr>
        <w:spacing w:after="0" w:line="53" w:lineRule="exact"/>
        <w:rPr>
          <w:rFonts w:ascii="Times New Roman" w:cs="Times New Roman" w:eastAsia="Times New Roman" w:hAnsi="Times New Roman"/>
          <w:sz w:val="18"/>
          <w:szCs w:val="18"/>
          <w:color w:val="auto"/>
        </w:rPr>
      </w:pPr>
    </w:p>
    <w:p>
      <w:pPr>
        <w:ind w:left="780" w:hanging="128"/>
        <w:spacing w:after="0"/>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relating to regulatory activities, including filing fees paid to regulatory agencies;</w:t>
      </w:r>
    </w:p>
    <w:p>
      <w:pPr>
        <w:spacing w:after="0" w:line="117" w:lineRule="exact"/>
        <w:rPr>
          <w:rFonts w:ascii="Times New Roman" w:cs="Times New Roman" w:eastAsia="Times New Roman" w:hAnsi="Times New Roman"/>
          <w:sz w:val="18"/>
          <w:szCs w:val="18"/>
          <w:color w:val="auto"/>
        </w:rPr>
      </w:pPr>
    </w:p>
    <w:p>
      <w:pPr>
        <w:ind w:left="780" w:hanging="128"/>
        <w:spacing w:after="0"/>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for maintaining licenses and other amounts due under our third party licensing agreements;</w:t>
      </w:r>
    </w:p>
    <w:p>
      <w:pPr>
        <w:spacing w:after="0" w:line="117" w:lineRule="exact"/>
        <w:rPr>
          <w:rFonts w:ascii="Times New Roman" w:cs="Times New Roman" w:eastAsia="Times New Roman" w:hAnsi="Times New Roman"/>
          <w:sz w:val="18"/>
          <w:szCs w:val="18"/>
          <w:color w:val="auto"/>
        </w:rPr>
      </w:pPr>
    </w:p>
    <w:p>
      <w:pPr>
        <w:ind w:left="780" w:hanging="128"/>
        <w:spacing w:after="0"/>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materials and supplies used to support our research activities; and</w:t>
      </w:r>
    </w:p>
    <w:p>
      <w:pPr>
        <w:spacing w:after="0" w:line="117" w:lineRule="exact"/>
        <w:rPr>
          <w:rFonts w:ascii="Times New Roman" w:cs="Times New Roman" w:eastAsia="Times New Roman" w:hAnsi="Times New Roman"/>
          <w:sz w:val="18"/>
          <w:szCs w:val="18"/>
          <w:color w:val="auto"/>
        </w:rPr>
      </w:pPr>
    </w:p>
    <w:p>
      <w:pPr>
        <w:ind w:left="780" w:hanging="128"/>
        <w:spacing w:after="0"/>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expenses for utilities and other facility-related costs.</w:t>
      </w:r>
    </w:p>
    <w:p>
      <w:pPr>
        <w:spacing w:after="0" w:line="225"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We expense all research and development costs in the periods in which they are incurred. Costs for certain research and development activities are recognized based on an evaluation of the progress to completion of specific tasks using information and data provided to us by our vendors and third-party service providers.</w:t>
      </w:r>
    </w:p>
    <w:p>
      <w:pPr>
        <w:spacing w:after="0" w:line="17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direct external research and development expenses consist primarily of third party costs, such as fees paid to CROs, CMOs, research/testing laboratories and outside consultants in connection with our preclinical development, process development, manufacturing and clinical development activities. We do not allocate these costs to specific product candidates because many of them are deployed across several of our development programs and, as such, are not separately classified. All other external research and development costs, including personnel costs, are not allocated to specific product candidates as they support multiple development programs. We have historically used internal resources primarily to conduct research and manage our preclinical development, process development, manufacturing and clinical development activities. These employees have worked across multiple development programs and, therefore, we have not historically tracked their costs by program and, as such, are not separately classified. 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w:t>
      </w:r>
    </w:p>
    <w:p>
      <w:pPr>
        <w:spacing w:after="0" w:line="188"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successful development of our product candidates is highly uncertain. At this time, we cannot reasonably estimate or know the nature, timing and costs of the efforts that will be necessary to complete the remainder of the development of, or when, if ever, material net cash inflows may commence from any of our product candidates. This uncertainty is due to the numerous risks and uncertainties associated with the duration and cost of clinical trials, which vary significantly over the life of a project as a result of many factors, including:</w:t>
      </w:r>
    </w:p>
    <w:p>
      <w:pPr>
        <w:spacing w:after="0" w:line="72" w:lineRule="exact"/>
        <w:rPr>
          <w:sz w:val="20"/>
          <w:szCs w:val="20"/>
          <w:color w:val="auto"/>
        </w:rPr>
      </w:pPr>
    </w:p>
    <w:p>
      <w:pPr>
        <w:ind w:left="780" w:right="540" w:hanging="128"/>
        <w:spacing w:after="0" w:line="282" w:lineRule="auto"/>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outcome and costs of our preclinical studies, our current product candidates and any other product candidates we may acquire or develop;</w:t>
      </w:r>
    </w:p>
    <w:p>
      <w:pPr>
        <w:spacing w:after="0" w:line="53" w:lineRule="exact"/>
        <w:rPr>
          <w:rFonts w:ascii="Times New Roman" w:cs="Times New Roman" w:eastAsia="Times New Roman" w:hAnsi="Times New Roman"/>
          <w:sz w:val="18"/>
          <w:szCs w:val="18"/>
          <w:color w:val="auto"/>
        </w:rPr>
      </w:pPr>
    </w:p>
    <w:p>
      <w:pPr>
        <w:ind w:left="780" w:right="280" w:hanging="128"/>
        <w:spacing w:after="0" w:line="282" w:lineRule="auto"/>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of our product candidates or making arrangements with third-party manufacturers for both clinical and commercial supplies of these product candidates;</w:t>
      </w:r>
    </w:p>
    <w:p>
      <w:pPr>
        <w:spacing w:after="0" w:line="53" w:lineRule="exact"/>
        <w:rPr>
          <w:rFonts w:ascii="Times New Roman" w:cs="Times New Roman" w:eastAsia="Times New Roman" w:hAnsi="Times New Roman"/>
          <w:sz w:val="18"/>
          <w:szCs w:val="18"/>
          <w:color w:val="auto"/>
        </w:rPr>
      </w:pPr>
    </w:p>
    <w:p>
      <w:pPr>
        <w:ind w:left="780" w:hanging="128"/>
        <w:spacing w:after="0"/>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patient enrollment in, and the initiation, duration and completion of clinical trials;</w:t>
      </w:r>
    </w:p>
    <w:p>
      <w:pPr>
        <w:spacing w:after="0" w:line="117" w:lineRule="exact"/>
        <w:rPr>
          <w:rFonts w:ascii="Times New Roman" w:cs="Times New Roman" w:eastAsia="Times New Roman" w:hAnsi="Times New Roman"/>
          <w:sz w:val="18"/>
          <w:szCs w:val="18"/>
          <w:color w:val="auto"/>
        </w:rPr>
      </w:pPr>
    </w:p>
    <w:p>
      <w:pPr>
        <w:ind w:left="780" w:hanging="128"/>
        <w:spacing w:after="0"/>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gaining regulatory approvals for our product candidates, subject to the successful outcome of ongoing and future clinical trials; and</w:t>
      </w:r>
    </w:p>
    <w:p>
      <w:pPr>
        <w:spacing w:after="0" w:line="117" w:lineRule="exact"/>
        <w:rPr>
          <w:rFonts w:ascii="Times New Roman" w:cs="Times New Roman" w:eastAsia="Times New Roman" w:hAnsi="Times New Roman"/>
          <w:sz w:val="18"/>
          <w:szCs w:val="18"/>
          <w:color w:val="auto"/>
        </w:rPr>
      </w:pPr>
    </w:p>
    <w:p>
      <w:pPr>
        <w:ind w:left="780" w:hanging="128"/>
        <w:spacing w:after="0"/>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any required post-marketing approval commitments to applicable regulatory authorities.</w:t>
      </w:r>
    </w:p>
    <w:p>
      <w:pPr>
        <w:spacing w:after="0" w:line="225"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Our expenditures are subject to additional uncertainties, including the terms and timing of regulatory approvals. We may never succeed in achieving regulatory approval for any of our product candidates. We may obtain unexpected results from our clinical trials.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5" w:name="page26"/>
    <w:bookmarkEnd w:id="25"/>
    <w:p>
      <w:pPr>
        <w:ind w:right="160"/>
        <w:spacing w:after="0" w:line="256" w:lineRule="auto"/>
        <w:rPr>
          <w:sz w:val="20"/>
          <w:szCs w:val="20"/>
          <w:color w:val="auto"/>
        </w:rPr>
      </w:pPr>
      <w:r>
        <w:rPr>
          <w:rFonts w:ascii="Times New Roman" w:cs="Times New Roman" w:eastAsia="Times New Roman" w:hAnsi="Times New Roman"/>
          <w:sz w:val="18"/>
          <w:szCs w:val="18"/>
          <w:color w:val="auto"/>
        </w:rPr>
        <w:t>We may elect to discontinue, delay or modify clinical trials of some product candidates or focus on others. A change in the outcome of any of these variables with respect to the development of a product candidate could mean a significant change in the costs and timing associated with the development of that product candidate. For example, if the FDA or other regulatory authorities were to require us to conduct clinical trials beyond those that we currently anticipate, or if we experience significant delays in enrollment in any of our clinical trials, we could be required to expend significant additional financial resources and time on the completion of clinical development. Product commercialization will take several years and significant additional development costs.</w:t>
      </w:r>
    </w:p>
    <w:p>
      <w:pPr>
        <w:spacing w:after="0" w:line="2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119" w:lineRule="exact"/>
        <w:rPr>
          <w:sz w:val="20"/>
          <w:szCs w:val="20"/>
          <w:color w:val="auto"/>
        </w:rPr>
      </w:pPr>
    </w:p>
    <w:p>
      <w:pPr>
        <w:jc w:val="both"/>
        <w:ind w:right="34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principally of salaries and related costs for personnel in executive, administrative, finance and legal functions, including stock-based compensation, travel and recruiting expenses. Other general and administrative expenses include facility related costs, patent filing and prosecution costs and professional fees for legal, auditing and tax services, and insurance costs.</w:t>
      </w:r>
    </w:p>
    <w:p>
      <w:pPr>
        <w:spacing w:after="0" w:line="2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Acquired In-Process Research and Development Expense</w:t>
      </w:r>
    </w:p>
    <w:p>
      <w:pPr>
        <w:spacing w:after="0" w:line="119"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Acquired in-process research and development expense represents the fair value of in-process research and development assets obtained in connection with asset acquisitions where the acquired IPR&amp;D has no alternative future use as of the acquisition date. In accordance with ASC 805, such amounts are expensed at the time of acquisition rather than capitalized. We expect to recognize acquired IPR&amp;D expense in periods in which we consummate acquisitions of development-stage assets. The amount and timing of such charges, if any, will depend on the nature, size and frequency of future acquisition activity.</w:t>
      </w:r>
    </w:p>
    <w:p>
      <w:pPr>
        <w:spacing w:after="0" w:line="2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19"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Our other income (expense) consists of accretion on short-term investments, interest income (expense), gain or loss on fixed asset disposal, and changes in fair value of warrant liabilities.</w:t>
      </w:r>
    </w:p>
    <w:p>
      <w:pPr>
        <w:spacing w:after="0" w:line="2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jc w:val="both"/>
        <w:ind w:right="480" w:firstLine="509"/>
        <w:spacing w:after="0" w:line="266" w:lineRule="auto"/>
        <w:rPr>
          <w:sz w:val="20"/>
          <w:szCs w:val="20"/>
          <w:color w:val="auto"/>
        </w:rPr>
      </w:pPr>
      <w:r>
        <w:rPr>
          <w:rFonts w:ascii="Times New Roman" w:cs="Times New Roman" w:eastAsia="Times New Roman" w:hAnsi="Times New Roman"/>
          <w:sz w:val="18"/>
          <w:szCs w:val="18"/>
          <w:color w:val="auto"/>
        </w:rPr>
        <w:t>Since our inception, we have not recorded any income tax benefits for the net losses we have incurred or for the research and development tax credits earned in each year, as we believe, based upon the weight of available evidence, that it is more likely than not that all of our net operating loss carryforwards and tax credit carryforwards will not be realized.</w:t>
      </w:r>
    </w:p>
    <w:p>
      <w:pPr>
        <w:spacing w:after="0" w:line="2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sets forth our results of operations for the three months ended March 31, 2026 and 2025:</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284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540" w:type="dxa"/>
            <w:vAlign w:val="bottom"/>
            <w:tcBorders>
              <w:bottom w:val="single" w:sz="8" w:color="auto"/>
            </w:tcBorders>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17,957</w:t>
            </w:r>
          </w:p>
        </w:tc>
        <w:tc>
          <w:tcPr>
            <w:tcW w:w="12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3,725</w:t>
            </w:r>
          </w:p>
        </w:tc>
        <w:tc>
          <w:tcPr>
            <w:tcW w:w="10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19,713</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16,164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170,627</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7,274</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163,353</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(170,627)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(7,274)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(163,353)</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65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(170,236)</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(6,864)</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(163,372)</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-453390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-453390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-453390</wp:posOffset>
            </wp:positionV>
            <wp:extent cx="7747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-170815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-170815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jc w:val="both"/>
        <w:ind w:right="100" w:firstLine="509"/>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were $18.0 million for the three months ended March 31, 2026, compared to $3.7 million for the three months ended March 31, 2025. The increase of $14.2 million was primarily driven by the inclusion of Faeth Therapeutics operations following the February 2026 acquisition, contributing $1.8 million of research and development costs including preclinical, clinical trial, and chemistry, manufacturing and controls (or "CMC") related expenses, $4.8 million of non-cash stock-based compensation expense and $9.1 million of non-recurring tax gross-up payments related to the accelerated vesting of Faeth options, and $0.7 million of stock-based compensation from inducement grants issued to Faeth employees, partially offset by a $2.2 million decrease in legacy Sensei research and development spending.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6" w:name="page27"/>
    <w:bookmarkEnd w:id="26"/>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We expect research and development expenses in future periods to be lower than those incurred during the three months ended March 31, 2026, which included significant non-recurring costs associated with the Acquisition, including stock-based compensation expense related to the accelerated vesting of Faeth employee stock options and tax gross-up payments. However, we expect our ongoing research and development expenses to increase significantly as we advance PIKTOR through our ongoing Phase 2 trial in advanced endometrial cancer and our recently initiated Phase 1b/2 trial in HR+/HER2- advanced breast cancer, and as we expand preclinical and CMC activities for our broader pipeline.</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were $19.7 million for the three months ended March 31, 2026, compared to $3.5 million for the three months ended March 31, 2025. The increase of $16.2 million was primarily driven by acquisition-related charges consisting of $6.2 million of non-cash stock-based compensation expense and $6.5 million of non-recurring tax gross-up payments related to the accelerated vesting of Faeth options, $2.5 million of transaction costs, $0.6 million of Faeth operating costs, $0.8 million related to inducement grants issued to Faeth employees and $0.2 million related to assumed options, partially offset by a $0.6 million reduction in legacy Sensei expenses.</w:t>
      </w:r>
    </w:p>
    <w:p>
      <w:pPr>
        <w:spacing w:after="0" w:line="7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expect our general and administrative expenses in future periods to be lower than those incurred during the three months ended March 31, 2026, which included significant non-recurring costs associated with the Acquisition, including stock-based compensation expense related to the accelerated vesting of Faeth employee stock options and transaction costs. However, we expect our ongoing general and administrative expenses to remain significantly higher than our pre-Acquisition levels as a result of the integration of Faeth Therapeutics' operations, including personnel costs associated with the expanded workforce and the support of our broader product pipeline, as well as additional costs associated with operating as a larger public company, including consulting, legal, tax-related services, accounting, investor relations, and insurance premiums.</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Acquired In-Process Research and Development Expense</w:t>
      </w:r>
    </w:p>
    <w:p>
      <w:pPr>
        <w:spacing w:after="0" w:line="11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Acquired in-process research and development expense was $133.0 million for the three months ended March 31, 2026, with no comparable expense in the prior year period. The charge was recognized in connection with the acquisition of Faeth Therapeutics in February 2026 and represents the fair value of acquired IPR&amp;D assets that had no alternative future use as of the acquisition date. See Note 3 to our unaudited condensed consolidated financial statement included elsewhere in this Quarterly Report for additional information regarding the acquisition.</w:t>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119"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Other income was $0.4 million for the three months ended March 31, 2026 and 2025. For both periods this primarily consisted of interest income related to securities.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Sources of Liquidity</w:t>
      </w:r>
    </w:p>
    <w:p>
      <w:pPr>
        <w:spacing w:after="0" w:line="227"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We have not generated any product revenue and have incurred net losses and negative cash flows from our operations. As of March 31, 2026, we had cash, cash equivalents and marketable securities of $202.8 million. We have financed our operations through sales of our common stock, redeemable convertible preferred stock and convertible debt. Through the date of this Quarterly Report, we have raised an aggregate of $123.4 million of gross proceeds from private placements of our equity and convertible debt securities and net proceeds of $138.5 million from our IPO in February 2021 and an additional $183.1 million in net proceeds received in the 2026 Private Placement. Our net loss was $170.2 million and $6.9 million for the three months ended March 31, 2026 and 2025, respectively. As of March 31, 2026, we had an accumulated deficit of $453.4 million. Our primary use of cash is to fund operating expenses, which consist primarily of research and development expenditures and general and administrative expenditures.</w:t>
      </w:r>
    </w:p>
    <w:p>
      <w:pPr>
        <w:spacing w:after="0" w:line="189" w:lineRule="exact"/>
        <w:rPr>
          <w:sz w:val="20"/>
          <w:szCs w:val="20"/>
          <w:color w:val="auto"/>
        </w:rPr>
      </w:pPr>
    </w:p>
    <w:p>
      <w:pPr>
        <w:ind w:right="420" w:firstLine="509"/>
        <w:spacing w:after="0" w:line="261" w:lineRule="auto"/>
        <w:rPr>
          <w:sz w:val="20"/>
          <w:szCs w:val="20"/>
          <w:color w:val="auto"/>
        </w:rPr>
      </w:pPr>
      <w:r>
        <w:rPr>
          <w:rFonts w:ascii="Times New Roman" w:cs="Times New Roman" w:eastAsia="Times New Roman" w:hAnsi="Times New Roman"/>
          <w:sz w:val="18"/>
          <w:szCs w:val="18"/>
          <w:color w:val="auto"/>
        </w:rPr>
        <w:t>We expect our cash requirements to increase as we advance PIKTOR through multiple clinical trials following the Acquisition of Faeth Therapeutics, including our ongoing Phase 2 trial in advanced endometrial cancer and our recently initiated Phase 1b/2 trial in HR+/HER2- advanced breast cancer, and we believe our existing cash, cash equivalents and marketable securities of $202.8 million are sufficient to fund operations through topline data readouts from both studies.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below:</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73"/>
        </w:trPr>
        <w:tc>
          <w:tcPr>
            <w:tcW w:w="7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vMerge w:val="restart"/>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gridSpan w:val="4"/>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42"/>
        </w:trPr>
        <w:tc>
          <w:tcPr>
            <w:tcW w:w="760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65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7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(10,733)</w:t>
            </w:r>
          </w:p>
        </w:tc>
        <w:tc>
          <w:tcPr>
            <w:tcW w:w="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(7,094)</w:t>
            </w:r>
          </w:p>
        </w:tc>
        <w:tc>
          <w:tcPr>
            <w:tcW w:w="0" w:type="dxa"/>
            <w:vAlign w:val="bottom"/>
          </w:tcPr>
          <w:p>
            <w:pPr>
              <w:spacing w:after="0"/>
              <w:rPr>
                <w:sz w:val="1"/>
                <w:szCs w:val="1"/>
                <w:color w:val="auto"/>
              </w:rPr>
            </w:pPr>
          </w:p>
        </w:tc>
      </w:tr>
      <w:tr>
        <w:trPr>
          <w:trHeight w:val="216"/>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(31,436)</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7,191</w:t>
            </w:r>
          </w:p>
        </w:tc>
        <w:tc>
          <w:tcPr>
            <w:tcW w:w="0" w:type="dxa"/>
            <w:vAlign w:val="bottom"/>
          </w:tcPr>
          <w:p>
            <w:pPr>
              <w:spacing w:after="0"/>
              <w:rPr>
                <w:sz w:val="1"/>
                <w:szCs w:val="1"/>
                <w:color w:val="auto"/>
              </w:rPr>
            </w:pPr>
          </w:p>
        </w:tc>
      </w:tr>
      <w:tr>
        <w:trPr>
          <w:trHeight w:val="216"/>
        </w:trPr>
        <w:tc>
          <w:tcPr>
            <w:tcW w:w="77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185,826</w:t>
            </w: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09"/>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143,657</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-170815</wp:posOffset>
            </wp:positionV>
            <wp:extent cx="10287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60" w:firstLine="509"/>
        <w:spacing w:after="0" w:line="274" w:lineRule="auto"/>
        <w:rPr>
          <w:sz w:val="20"/>
          <w:szCs w:val="20"/>
          <w:color w:val="auto"/>
        </w:rPr>
      </w:pPr>
      <w:r>
        <w:rPr>
          <w:rFonts w:ascii="Times New Roman" w:cs="Times New Roman" w:eastAsia="Times New Roman" w:hAnsi="Times New Roman"/>
          <w:sz w:val="17"/>
          <w:szCs w:val="17"/>
          <w:color w:val="auto"/>
        </w:rPr>
        <w:t>During the three months ended March 31, 2026, net cash used in operating activities was $10.7 million, primarily resulting from our $170.2 million net loss partially offset by a $13.3 million increase in our operating assets and liabilities and increases in non-cash charges of $146.2 million, primarily related to $133.0 million of acquired in-process research and development from the acquisition of Faeth Therapeutics, $12.9 million of stock compensation expense and $0.4 million of non-cash lease expense partially offset by $0.1 million of accretion on marketable securities. The change in operating assets and liabilities was primarily related to a $10.7 million decrease in prepaid expenses related to tax gross-up expenses for the accelerated vesting of options and a $2.6 million increase in accrued compensation and employee benefits related to unpaid tax gross-up expenses for the accelerated vesting of options.</w:t>
      </w:r>
    </w:p>
    <w:p>
      <w:pPr>
        <w:spacing w:after="0" w:line="65"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net cash used in operating activities was $7.1 million, primarily resulting from our $6.9 million net loss and a $0.9 million decrease in our operating assets and liabilities partially offset by increases in non-cash charges of $0.6 million, primarily related to $0.5 million of stock compensation expense and $0.4 million of non-cash lease expense, partially offset by $0.3 million of accretion on marketable securities.</w:t>
      </w:r>
    </w:p>
    <w:p>
      <w:pPr>
        <w:spacing w:after="0" w:line="2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net cash used in investing activities was $31.4 million, primarily due to $43.9 million in purchases of short-term investments, partially offset by $6.5 million in cash assumed from the acquisition of Faeth and $6.0 million in maturities of short-term investments.</w:t>
      </w:r>
    </w:p>
    <w:p>
      <w:pPr>
        <w:spacing w:after="0" w:line="68"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net cash provided by investing activities was $7.2 million, primarily due to $13.5 million in maturities of short-term investments, partially offset by $6.3 million in purchases of short-term investments.</w:t>
      </w:r>
    </w:p>
    <w:p>
      <w:pPr>
        <w:spacing w:after="0" w:line="2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net cash provided by financing activities was $185.8 million, primarily consisting of $200.0 million proceeds from the issuance of Series B Preferred Stock, $1.0 million from the exercise of options into common stock, partially offset by $15.1 million of issuance costs from the private placement issuance of Series B Preferred Stock and $0.1 million of principal payments under our financing leases.</w:t>
      </w:r>
    </w:p>
    <w:p>
      <w:pPr>
        <w:spacing w:after="0" w:line="68"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net cash used in financing activities was $0.2 million, primarily consisting of $0.2 million of principal payments under our financing leases.</w:t>
      </w:r>
    </w:p>
    <w:p>
      <w:pPr>
        <w:spacing w:after="0" w:line="200" w:lineRule="exact"/>
        <w:rPr>
          <w:sz w:val="20"/>
          <w:szCs w:val="20"/>
          <w:color w:val="auto"/>
        </w:rPr>
      </w:pPr>
    </w:p>
    <w:p>
      <w:pPr>
        <w:spacing w:after="0" w:line="2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229" w:lineRule="exact"/>
        <w:rPr>
          <w:sz w:val="20"/>
          <w:szCs w:val="20"/>
          <w:color w:val="auto"/>
        </w:rPr>
      </w:pPr>
    </w:p>
    <w:p>
      <w:pPr>
        <w:ind w:right="800" w:firstLine="509"/>
        <w:spacing w:after="0" w:line="282" w:lineRule="auto"/>
        <w:rPr>
          <w:sz w:val="20"/>
          <w:szCs w:val="20"/>
          <w:color w:val="auto"/>
        </w:rPr>
      </w:pPr>
      <w:r>
        <w:rPr>
          <w:rFonts w:ascii="Times New Roman" w:cs="Times New Roman" w:eastAsia="Times New Roman" w:hAnsi="Times New Roman"/>
          <w:sz w:val="18"/>
          <w:szCs w:val="18"/>
          <w:color w:val="auto"/>
        </w:rPr>
        <w:t>Our material cash requirements will have an impact on our future liquidity. Our material cash requirements represent material expected or contractually committed future payment obligations.</w:t>
      </w:r>
    </w:p>
    <w:p>
      <w:pPr>
        <w:spacing w:after="0" w:line="2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11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have operating lease arrangements for our corporate offices, lab facilities and an executive residence. As part of our adoption of ASC 842, we recorded operating ROU assets and operating lease liabilities for these leases as of January 1, 2022. As of March 31, 2026, we had operating lease payment obligations of $1.0 million, with $1.0 million payable for the remainder of 2026. See Note 7 in our condensed consolidated financial statements included elsewhere in this Form 10-Q for additional information.</w:t>
      </w:r>
    </w:p>
    <w:p>
      <w:pPr>
        <w:spacing w:after="0" w:line="180"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the biopharmaceutical industry, it can take a significant amount of time and capital resources to successfully complete all stages of research and development and commercialize a product candidate. The ultimate length of time and spend required cannot be accurately estimated as it varies substantially according to the type, complexity, novelty and intended use of a product candidate. Please see the “Funding Requirements” section below for further details.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2" w:right="339" w:bottom="1440" w:gutter="0" w:footer="0" w:header="0"/>
        </w:sectPr>
      </w:pPr>
    </w:p>
    <w:bookmarkStart w:id="28" w:name="page29"/>
    <w:bookmarkEnd w:id="28"/>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In addition, our future capital requirements will depend on many factors, including, without limitation, the timing of stockholder approval of the Company Stockholder Matters and the potential cash settlement obligations that may arise if we are unable to timely deliver shares of our common stock upon conversion of the Series B Preferred Stock. In connection with the Acquisition, we issued 24,937.493 shares of Series B Preferred Stock, each share of which is convertible into 1,000 shares of our common stock, subject to certain beneficial ownership limitations and receipt of approval of the Company Stockholder Matters. The shares of Series B Preferred Stock will automatically convert upon the third business day following receipt of approval of the Company Stockholder Matters stockholder approval in accordance with Nasdaq listing rules up to the beneficial ownership limitations set by each holder; provided that such beneficial ownership limitations may be waived by each holder of Series B Preferred Stock at any time following the approval by Nasdaq of the Nasdaq Listing Application and approval of the Company Stockholder Matters.</w:t>
      </w:r>
    </w:p>
    <w:p>
      <w:pPr>
        <w:spacing w:after="0" w:line="19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Certificate of Designation contains a provision that, at any time following the earlier of (i) approval of the Company Stockholder Matters or (ii) six months after the initial issuance of the Series B Preferred Stock, if we fail to deliver shares of our common stock to a converting holder within the time periods required by the Certificate of Designation, such holder may require us to pay, in lieu of delivering the applicable conversion shares, an amount of cash equal to the fair value of the undelivered shares based on the last reported closing sale price of our common stock on the principal trading market on which our common stock is listed as of the trading day immediately prior to the date on which the applicable notice of conversion was delivered to us. Such payment would be required within two business days of the holder's request.</w:t>
      </w:r>
    </w:p>
    <w:p>
      <w:pPr>
        <w:spacing w:after="0" w:line="187"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If we are unable to obtain approval of the Company Stockholder Matters or approval of the Nasdaq Listing Application, or if we are otherwise unable to timely deliver shares of our common stock upon conversion — whether due to an insufficient number of authorized shares, Nasdaq listing requirements, or other factors — we could become obligated to make significant cash settlement payments to holders of Series B Preferred Stock who submit conversion notices after the applicable trigger date. Given the number of shares of Series B Preferred Stock outstanding and the potential magnitude of such cash settlement obligations, which would be determined by reference to the then-current trading price of our common stock, any such payments could require us to use a substantial portion of our available cash resources or to seek additional financing to satisfy these obligations, which could materially limit the amount of cash available to fund our operations and advance our clinical programs.</w:t>
      </w:r>
    </w:p>
    <w:p>
      <w:pPr>
        <w:spacing w:after="0" w:line="18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Additionally, even following stockholder approval of the Company Stockholder Matters, certain holders may be unable to convert their shares of Series B Preferred Stock due to the application of beneficial ownership limitations set by such holder. Shares of Series B Preferred Stock that are not converted in the automatic conversion on account of beneficial ownership limitations will remain outstanding until converted at the option of the applicable holder, and the cash settlement provisions described above would apply to any failure to timely deliver conversion shares in connection with any such optional conversion.</w:t>
      </w:r>
    </w:p>
    <w:p>
      <w:pPr>
        <w:spacing w:after="0" w:line="200" w:lineRule="exact"/>
        <w:rPr>
          <w:sz w:val="20"/>
          <w:szCs w:val="20"/>
          <w:color w:val="auto"/>
        </w:rPr>
      </w:pPr>
    </w:p>
    <w:p>
      <w:pPr>
        <w:spacing w:after="0" w:line="3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expect our expenses to increase in connection with our ongoing activities, particularly as we continue the research and development of, initiate clinical trials of, and potentially seek marketing approval for, our product candidates. In addition, we expect to continue to incur significant costs associated with operating as a public company, including significant legal, accounting, investor relations and other expenses. The timing and amount of our operating expenditures will depend largely on:</w:t>
      </w:r>
    </w:p>
    <w:p>
      <w:pPr>
        <w:spacing w:after="0" w:line="72" w:lineRule="exact"/>
        <w:rPr>
          <w:sz w:val="20"/>
          <w:szCs w:val="20"/>
          <w:color w:val="auto"/>
        </w:rPr>
      </w:pPr>
    </w:p>
    <w:p>
      <w:pPr>
        <w:ind w:left="780" w:right="400" w:hanging="128"/>
        <w:spacing w:after="0" w:line="282" w:lineRule="auto"/>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current and future preclinical studies and clinical trials for our current and future product candidates;</w:t>
      </w:r>
    </w:p>
    <w:p>
      <w:pPr>
        <w:spacing w:after="0" w:line="53" w:lineRule="exact"/>
        <w:rPr>
          <w:rFonts w:ascii="Times New Roman" w:cs="Times New Roman" w:eastAsia="Times New Roman" w:hAnsi="Times New Roman"/>
          <w:sz w:val="18"/>
          <w:szCs w:val="18"/>
          <w:color w:val="auto"/>
        </w:rPr>
      </w:pPr>
    </w:p>
    <w:p>
      <w:pPr>
        <w:ind w:left="780" w:hanging="128"/>
        <w:spacing w:after="0"/>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the manufacture of additional clinical trial material as well as any costs related to the scale-up of manufacturing activities;</w:t>
      </w:r>
    </w:p>
    <w:p>
      <w:pPr>
        <w:spacing w:after="0" w:line="117" w:lineRule="exact"/>
        <w:rPr>
          <w:rFonts w:ascii="Times New Roman" w:cs="Times New Roman" w:eastAsia="Times New Roman" w:hAnsi="Times New Roman"/>
          <w:sz w:val="18"/>
          <w:szCs w:val="18"/>
          <w:color w:val="auto"/>
        </w:rPr>
      </w:pPr>
    </w:p>
    <w:p>
      <w:pPr>
        <w:ind w:left="780" w:hanging="128"/>
        <w:spacing w:after="0"/>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to seek regulatory approvals for any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780" w:hanging="128"/>
        <w:spacing w:after="0"/>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hire additional clinical, quality assurance, quality control and other scientific personnel;</w:t>
      </w:r>
    </w:p>
    <w:p>
      <w:pPr>
        <w:spacing w:after="0" w:line="117" w:lineRule="exact"/>
        <w:rPr>
          <w:rFonts w:ascii="Times New Roman" w:cs="Times New Roman" w:eastAsia="Times New Roman" w:hAnsi="Times New Roman"/>
          <w:sz w:val="18"/>
          <w:szCs w:val="18"/>
          <w:color w:val="auto"/>
        </w:rPr>
      </w:pPr>
    </w:p>
    <w:p>
      <w:pPr>
        <w:ind w:left="780" w:hanging="128"/>
        <w:spacing w:after="0"/>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product candidates that we develop or may in-license;</w:t>
      </w:r>
    </w:p>
    <w:p>
      <w:pPr>
        <w:spacing w:after="0" w:line="117" w:lineRule="exact"/>
        <w:rPr>
          <w:rFonts w:ascii="Times New Roman" w:cs="Times New Roman" w:eastAsia="Times New Roman" w:hAnsi="Times New Roman"/>
          <w:sz w:val="18"/>
          <w:szCs w:val="18"/>
          <w:color w:val="auto"/>
        </w:rPr>
      </w:pPr>
    </w:p>
    <w:p>
      <w:pPr>
        <w:ind w:left="780" w:hanging="128"/>
        <w:spacing w:after="0"/>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meeting and maintaining compliance with regulatory requirements;</w:t>
      </w:r>
    </w:p>
    <w:p>
      <w:pPr>
        <w:spacing w:after="0" w:line="117" w:lineRule="exact"/>
        <w:rPr>
          <w:rFonts w:ascii="Times New Roman" w:cs="Times New Roman" w:eastAsia="Times New Roman" w:hAnsi="Times New Roman"/>
          <w:sz w:val="18"/>
          <w:szCs w:val="18"/>
          <w:color w:val="auto"/>
        </w:rPr>
      </w:pPr>
    </w:p>
    <w:p>
      <w:pPr>
        <w:ind w:left="780" w:hanging="128"/>
        <w:spacing w:after="0"/>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prosecuting, defending and enforcing our patent claims and other intellectual property rights;</w:t>
      </w:r>
    </w:p>
    <w:p>
      <w:pPr>
        <w:spacing w:after="0" w:line="117" w:lineRule="exact"/>
        <w:rPr>
          <w:rFonts w:ascii="Times New Roman" w:cs="Times New Roman" w:eastAsia="Times New Roman" w:hAnsi="Times New Roman"/>
          <w:sz w:val="18"/>
          <w:szCs w:val="18"/>
          <w:color w:val="auto"/>
        </w:rPr>
      </w:pPr>
    </w:p>
    <w:p>
      <w:pPr>
        <w:ind w:left="780" w:right="740" w:hanging="128"/>
        <w:spacing w:after="0" w:line="282" w:lineRule="auto"/>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collaboration agreements we may choose to enter into, including the achievement of milestones or occurrence of other developments that trigger payments under any license or collaboration agreements we might have at such time;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9" w:name="page30"/>
    <w:bookmarkEnd w:id="29"/>
    <w:p>
      <w:pPr>
        <w:ind w:left="780" w:right="280" w:hanging="128"/>
        <w:spacing w:after="0" w:line="282" w:lineRule="auto"/>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associated with the expansion of our operational, financial and management systems and increased personnel, including personnel to support our operations as a public company; and</w:t>
      </w:r>
    </w:p>
    <w:p>
      <w:pPr>
        <w:spacing w:after="0" w:line="53" w:lineRule="exact"/>
        <w:rPr>
          <w:rFonts w:ascii="Times New Roman" w:cs="Times New Roman" w:eastAsia="Times New Roman" w:hAnsi="Times New Roman"/>
          <w:sz w:val="18"/>
          <w:szCs w:val="18"/>
          <w:color w:val="auto"/>
        </w:rPr>
      </w:pPr>
    </w:p>
    <w:p>
      <w:pPr>
        <w:ind w:left="780" w:hanging="128"/>
        <w:spacing w:after="0" w:line="282" w:lineRule="auto"/>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any product candidates for which we may receive regulatory approval in regions where we choose to commercialize our products, if approved, on our own.</w:t>
      </w:r>
    </w:p>
    <w:p>
      <w:pPr>
        <w:spacing w:after="0" w:line="5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expect our existing cash, cash equivalents and marketable securities will enable us to fund our operating expenses and capital expenditure requirements through topline data readouts from both our ongoing Phase 2 trial of PIKTOR in advanced endometrial cancer (Study FTH-PIK-201) and our recently initiated Phase 1b/2 trial of PIKTOR in HR+/HER2- advanced breast cancer (Study FTH-PIK-101). We have based this estimate on assumptions that may prove to be wrong, and we may use our available capital resources sooner than we currently expect. Our future capital requirements will depend on many factors, including:</w:t>
      </w:r>
    </w:p>
    <w:p>
      <w:pPr>
        <w:spacing w:after="0" w:line="75" w:lineRule="exact"/>
        <w:rPr>
          <w:sz w:val="20"/>
          <w:szCs w:val="20"/>
          <w:color w:val="auto"/>
        </w:rPr>
      </w:pPr>
    </w:p>
    <w:p>
      <w:pPr>
        <w:ind w:left="780" w:hanging="128"/>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product discovery, preclinical studies and clinical trials;</w:t>
      </w:r>
    </w:p>
    <w:p>
      <w:pPr>
        <w:spacing w:after="0" w:line="117" w:lineRule="exact"/>
        <w:rPr>
          <w:rFonts w:ascii="Times New Roman" w:cs="Times New Roman" w:eastAsia="Times New Roman" w:hAnsi="Times New Roman"/>
          <w:sz w:val="18"/>
          <w:szCs w:val="18"/>
          <w:color w:val="auto"/>
        </w:rPr>
      </w:pPr>
    </w:p>
    <w:p>
      <w:pPr>
        <w:ind w:left="780" w:hanging="128"/>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prioritization and number of our research and development programs;</w:t>
      </w:r>
    </w:p>
    <w:p>
      <w:pPr>
        <w:spacing w:after="0" w:line="117" w:lineRule="exact"/>
        <w:rPr>
          <w:rFonts w:ascii="Times New Roman" w:cs="Times New Roman" w:eastAsia="Times New Roman" w:hAnsi="Times New Roman"/>
          <w:sz w:val="18"/>
          <w:szCs w:val="18"/>
          <w:color w:val="auto"/>
        </w:rPr>
      </w:pPr>
    </w:p>
    <w:p>
      <w:pPr>
        <w:ind w:left="780" w:hanging="128"/>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780" w:hanging="128"/>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on favorable terms, if at all;</w:t>
      </w:r>
    </w:p>
    <w:p>
      <w:pPr>
        <w:spacing w:after="0" w:line="117" w:lineRule="exact"/>
        <w:rPr>
          <w:rFonts w:ascii="Times New Roman" w:cs="Times New Roman" w:eastAsia="Times New Roman" w:hAnsi="Times New Roman"/>
          <w:sz w:val="18"/>
          <w:szCs w:val="18"/>
          <w:color w:val="auto"/>
        </w:rPr>
      </w:pPr>
    </w:p>
    <w:p>
      <w:pPr>
        <w:ind w:left="780" w:hanging="128"/>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obligated to reimburse, or entitled to reimbursement of, clinical trial costs under collaboration agreements, if any;</w:t>
      </w:r>
    </w:p>
    <w:p>
      <w:pPr>
        <w:spacing w:after="0" w:line="117" w:lineRule="exact"/>
        <w:rPr>
          <w:rFonts w:ascii="Times New Roman" w:cs="Times New Roman" w:eastAsia="Times New Roman" w:hAnsi="Times New Roman"/>
          <w:sz w:val="18"/>
          <w:szCs w:val="18"/>
          <w:color w:val="auto"/>
        </w:rPr>
      </w:pPr>
    </w:p>
    <w:p>
      <w:pPr>
        <w:ind w:left="780" w:right="520" w:hanging="128"/>
        <w:spacing w:after="0" w:line="282" w:lineRule="auto"/>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53" w:lineRule="exact"/>
        <w:rPr>
          <w:rFonts w:ascii="Times New Roman" w:cs="Times New Roman" w:eastAsia="Times New Roman" w:hAnsi="Times New Roman"/>
          <w:sz w:val="18"/>
          <w:szCs w:val="18"/>
          <w:color w:val="auto"/>
        </w:rPr>
      </w:pPr>
    </w:p>
    <w:p>
      <w:pPr>
        <w:ind w:left="780" w:hanging="128"/>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candidates and technologies;</w:t>
      </w:r>
    </w:p>
    <w:p>
      <w:pPr>
        <w:spacing w:after="0" w:line="117" w:lineRule="exact"/>
        <w:rPr>
          <w:rFonts w:ascii="Times New Roman" w:cs="Times New Roman" w:eastAsia="Times New Roman" w:hAnsi="Times New Roman"/>
          <w:sz w:val="18"/>
          <w:szCs w:val="18"/>
          <w:color w:val="auto"/>
        </w:rPr>
      </w:pPr>
    </w:p>
    <w:p>
      <w:pPr>
        <w:ind w:left="780" w:hanging="128"/>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manufacturing arrangements for commercial production; and</w:t>
      </w:r>
    </w:p>
    <w:p>
      <w:pPr>
        <w:spacing w:after="0" w:line="117" w:lineRule="exact"/>
        <w:rPr>
          <w:rFonts w:ascii="Times New Roman" w:cs="Times New Roman" w:eastAsia="Times New Roman" w:hAnsi="Times New Roman"/>
          <w:sz w:val="18"/>
          <w:szCs w:val="18"/>
          <w:color w:val="auto"/>
        </w:rPr>
      </w:pPr>
    </w:p>
    <w:p>
      <w:pPr>
        <w:ind w:left="780" w:hanging="128"/>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or contracting for sales and marketing capabilities if we obtain regulatory approvals to market our product candidates.</w:t>
      </w:r>
    </w:p>
    <w:p>
      <w:pPr>
        <w:spacing w:after="0" w:line="225"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operations through a combination of equity offerings, debt financings, collaborations, strategic alliances and marketing, distribution or licensing arrangements. We do not currently have any committed external source of funds. To the extent that we raise additional capital through the sale of equity or convertible debt securities, your ownership interest may be materially diluted, and the terms of such securities could include liquidation or other preferences that adversely affect your rights as a common stockholder. Debt financing and preferred equity financing, if available, may involve agreements that include restrictive covenants limiting or restricting our ability to take specific actions, such as incurring additional debt, making capital expenditures or declaring dividends. In addition, debt financing would result in fixed payment obligations.</w:t>
      </w:r>
    </w:p>
    <w:p>
      <w:pPr>
        <w:spacing w:after="0" w:line="189"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have to relinquish valuable rights to our future revenue streams, research programs or product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product candidates that we would otherwise prefer to develop and market ourselves.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Judgements and Estimates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is based on our financial statements, which are prepared in accordance with US GAAP. The preparation of our financial statements requires us to make estimates, assumptions and judgments that affect the reported amounts of assets, liabilities, costs and expenses. We base our estimates and assumptions on historical experience and other factors that we believe to be reasonable under the circumstances. We evaluate our estimates and assumptions on an ongoing basis. Our actual results may differ from these estimates.</w:t>
      </w:r>
    </w:p>
    <w:p>
      <w:pPr>
        <w:spacing w:after="0" w:line="183"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define our critical accounting policies as those accounting principles that require us to make subjective estimates and judgments about matters that are uncertain and are likely to have a material impact on our financial condition and results of operations, as well as the specific manner in which we apply those principles. During the three months ended March 31, 2026, we acquired in-process research and development intangible assets in connection with the Faeth Therapeutics merger, which represents a new critical accounting policy not previously disclosed in our Annual Report on Form 10-K for the year ended December 31, 2025, as filed with</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30" w:name="page31"/>
    <w:bookmarkEnd w:id="30"/>
    <w:p>
      <w:pPr>
        <w:ind w:right="140"/>
        <w:spacing w:after="0" w:line="282" w:lineRule="auto"/>
        <w:rPr>
          <w:sz w:val="20"/>
          <w:szCs w:val="20"/>
          <w:color w:val="auto"/>
        </w:rPr>
      </w:pPr>
      <w:r>
        <w:rPr>
          <w:rFonts w:ascii="Times New Roman" w:cs="Times New Roman" w:eastAsia="Times New Roman" w:hAnsi="Times New Roman"/>
          <w:sz w:val="18"/>
          <w:szCs w:val="18"/>
          <w:color w:val="auto"/>
        </w:rPr>
        <w:t>the SEC on March 30, 2026. Except for this addition, there were no other significant changes to our critical accounting policies which are included in our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500" w:firstLine="509"/>
        <w:spacing w:after="0" w:line="266" w:lineRule="auto"/>
        <w:rPr>
          <w:sz w:val="20"/>
          <w:szCs w:val="20"/>
          <w:color w:val="auto"/>
        </w:rPr>
      </w:pPr>
      <w:r>
        <w:rPr>
          <w:rFonts w:ascii="Times New Roman" w:cs="Times New Roman" w:eastAsia="Times New Roman" w:hAnsi="Times New Roman"/>
          <w:sz w:val="18"/>
          <w:szCs w:val="18"/>
          <w:color w:val="auto"/>
        </w:rPr>
        <w:t>See Note 2 in our condensed consolidated financial statements included elsewhere in this Form 10-Q for a description of recent accounting pronouncements applicable to our financial statements. Other than as disclosed in our financial statements, we do not expect that any recently issued accounting standards will have a material impact on our financial statements or will otherwise apply to our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121" w:lineRule="exact"/>
        <w:rPr>
          <w:sz w:val="20"/>
          <w:szCs w:val="20"/>
          <w:color w:val="auto"/>
        </w:rPr>
      </w:pPr>
    </w:p>
    <w:p>
      <w:pPr>
        <w:ind w:right="500" w:firstLine="509"/>
        <w:spacing w:after="0" w:line="261" w:lineRule="auto"/>
        <w:rPr>
          <w:sz w:val="20"/>
          <w:szCs w:val="20"/>
          <w:color w:val="auto"/>
        </w:rPr>
      </w:pPr>
      <w:r>
        <w:rPr>
          <w:rFonts w:ascii="Times New Roman" w:cs="Times New Roman" w:eastAsia="Times New Roman" w:hAnsi="Times New Roman"/>
          <w:sz w:val="18"/>
          <w:szCs w:val="18"/>
          <w:color w:val="auto"/>
        </w:rPr>
        <w:t>We qualify as an Emerging Growth Company, or EGC, as defined in the JOBS Act. As an EGC, we may take advantage of specified reduced disclosure and other requirements that are otherwise applicable generally to public companies, including reduced disclosure about our executive compensation arrangements, exemption from the requirements to hold non-binding advisory votes on executive compensation and golden parachute payments and exemption from the auditor attestation requirement in the assessment of our internal control over financial reporting.</w:t>
      </w:r>
    </w:p>
    <w:p>
      <w:pPr>
        <w:spacing w:after="0" w:line="180"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may take advantage of these exemptions until the last day of the fiscal year following the fifth anniversary of our initial public offering or such earlier time that we are no longer an emerging growth company. We would cease to be an EGC earlier if we have more than $1.235 billion in annual revenue, we have more than $700.0 million in market value of our stock held by non-affiliates (and we have been a public company for at least 12 months and have filed one annual report on Form 10-K) or we issue more than $1.0 billion of non-convertible debt securities over a three-year period. For so long as we remain an EGC, we are permitted, and intend, to rely on exemptions from certain disclosure requirements that are applicable to other public companies that are not EGCs. We may choose to take advantage of some, but not all, of the available exemptions.</w:t>
      </w:r>
    </w:p>
    <w:p>
      <w:pPr>
        <w:spacing w:after="0" w:line="18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addition, the JOBS Act provides that an EGC can take advantage of an extended transition period for complying with new or revised accounting standards. This allows an EGC to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EGC. Therefore, the reported results of operations contained in our condensed consolidated financial statements may not be directly comparable to those of other public companies.</w:t>
      </w:r>
    </w:p>
    <w:p>
      <w:pPr>
        <w:spacing w:after="0" w:line="18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w:t>
      </w:r>
    </w:p>
    <w:p>
      <w:pPr>
        <w:spacing w:after="0" w:line="180"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If we are a smaller reporting company at the time we cease to be an EGC,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EGCs, smaller reporting companies have reduced disclosure obligations regarding executive compensation.</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Item 10 of Regulation S-K and are not required to provide the information otherwise required under this item.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Controls and Procedures</w:t>
      </w:r>
    </w:p>
    <w:p>
      <w:pPr>
        <w:spacing w:after="0" w:line="119"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The term “disclosure controls and procedures,” as defined in Rules 13a-15(e) and 15d-15(e) under the Securities Exchange Act of 1934, as amended, or the Exchange Act, refers to controls and other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a company’s management, including its principal executive and principal financial officers, or persons performing similar functions, as appropriate to allow timely decisions regarding required disclosure.</w:t>
      </w:r>
    </w:p>
    <w:p>
      <w:pPr>
        <w:spacing w:after="0" w:line="18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spacing w:after="0" w:line="18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of March 31, 2026. Based on this evaluation, our principal executive officer and principal financial officer concluded that our disclosure controls and procedures were effective at the reasonable assurance level as of March 31, 2026.</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ind w:right="100" w:firstLine="509"/>
        <w:spacing w:after="0" w:line="261" w:lineRule="auto"/>
        <w:rPr>
          <w:sz w:val="20"/>
          <w:szCs w:val="20"/>
          <w:color w:val="auto"/>
        </w:rPr>
      </w:pPr>
      <w:r>
        <w:rPr>
          <w:rFonts w:ascii="Times New Roman" w:cs="Times New Roman" w:eastAsia="Times New Roman" w:hAnsi="Times New Roman"/>
          <w:sz w:val="18"/>
          <w:szCs w:val="18"/>
          <w:color w:val="auto"/>
        </w:rPr>
        <w:t>On February 17, 2026, we completed our acquisition of Faeth Therapeutics, as further described in Note 3 to the condensed consolidated financial statements included elsewhere in this Quarterly Report. In connection with the acquisition, we have begun the process of integrating Faeth Therapeutics' financial processes, systems, and personnel into our system of internal control over financial reporting. We expect this integration to continue through the remainder of 2026 and to result in changes to our internal control over financial reporting.</w:t>
      </w:r>
    </w:p>
    <w:p>
      <w:pPr>
        <w:spacing w:after="0" w:line="7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Other than as described above, there were no material changes in our internal control over financial reporting (as defined in Rules 13a-15(f) and 15d-15(f) under the Exchange Act) that occurred during the three months ended March 31, 2026 which have materially affected, or are reasonably likely to materially affect, our internal control over financial reporting.</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32" w:name="page33"/>
    <w:bookmarkEnd w:id="3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We are not currently a party to any material legal proceedings. From time to time, we may become involved in other litigation or legal proceedings relating to claims arising from the ordinary course of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described below, as well as general economic and business risks and the other information in this Quarterly Report on Form 10-Q. The occurrence of any of the events or circumstances described below or other adverse events could have a material adverse effect on our business, results of operations and financial condition and could cause the trading price of our common stock to decline. Additional risks or uncertainties not presently known to us or that we currently deem immaterial may also harm our business.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21" w:lineRule="exact"/>
        <w:rPr>
          <w:sz w:val="20"/>
          <w:szCs w:val="20"/>
          <w:color w:val="auto"/>
        </w:rPr>
      </w:pPr>
    </w:p>
    <w:p>
      <w:pPr>
        <w:jc w:val="both"/>
        <w:ind w:right="180" w:firstLine="576"/>
        <w:spacing w:after="0" w:line="266" w:lineRule="auto"/>
        <w:rPr>
          <w:sz w:val="20"/>
          <w:szCs w:val="20"/>
          <w:color w:val="auto"/>
        </w:rPr>
      </w:pPr>
      <w:r>
        <w:rPr>
          <w:rFonts w:ascii="Times New Roman" w:cs="Times New Roman" w:eastAsia="Times New Roman" w:hAnsi="Times New Roman"/>
          <w:sz w:val="18"/>
          <w:szCs w:val="18"/>
          <w:color w:val="auto"/>
        </w:rPr>
        <w:t>The risk factors summarized below could materially harm our business, operating results, and/or financial condition, impair our future prospects, and/or cause the price of our common stock to decline. These risks are discussed more fully below. Material risks that may affect our business, financial condition, results of operations, and trading price of our common stock include the following:</w:t>
      </w:r>
    </w:p>
    <w:p>
      <w:pPr>
        <w:spacing w:after="0" w:line="284" w:lineRule="exact"/>
        <w:rPr>
          <w:sz w:val="20"/>
          <w:szCs w:val="20"/>
          <w:color w:val="auto"/>
        </w:rPr>
      </w:pPr>
    </w:p>
    <w:p>
      <w:pPr>
        <w:ind w:left="800" w:right="400" w:hanging="381"/>
        <w:spacing w:after="0" w:line="312" w:lineRule="auto"/>
        <w:tabs>
          <w:tab w:leader="none" w:pos="80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 limited operating history, have incurred net losses since our inception, and anticipate that we will incur significant losses for the foreseeable future. We may never generate any revenue or become profitable or, if we achieve profitability, may not be able to sustain it.</w:t>
      </w:r>
    </w:p>
    <w:p>
      <w:pPr>
        <w:spacing w:after="0" w:line="31" w:lineRule="exact"/>
        <w:rPr>
          <w:rFonts w:ascii="Times New Roman" w:cs="Times New Roman" w:eastAsia="Times New Roman" w:hAnsi="Times New Roman"/>
          <w:sz w:val="17"/>
          <w:szCs w:val="17"/>
          <w:color w:val="auto"/>
        </w:rPr>
      </w:pPr>
    </w:p>
    <w:p>
      <w:pPr>
        <w:ind w:left="800" w:right="160" w:hanging="381"/>
        <w:spacing w:after="0" w:line="282" w:lineRule="auto"/>
        <w:tabs>
          <w:tab w:leader="none" w:pos="8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raise additional capital when needed, we may be forced to delay, reduce or eliminate our product development programs or other operations.</w:t>
      </w:r>
    </w:p>
    <w:p>
      <w:pPr>
        <w:spacing w:after="0" w:line="53" w:lineRule="exact"/>
        <w:rPr>
          <w:rFonts w:ascii="Times New Roman" w:cs="Times New Roman" w:eastAsia="Times New Roman" w:hAnsi="Times New Roman"/>
          <w:sz w:val="18"/>
          <w:szCs w:val="18"/>
          <w:color w:val="auto"/>
        </w:rPr>
      </w:pPr>
    </w:p>
    <w:p>
      <w:pPr>
        <w:ind w:left="800" w:right="160" w:hanging="381"/>
        <w:spacing w:after="0" w:line="282" w:lineRule="auto"/>
        <w:tabs>
          <w:tab w:leader="none" w:pos="8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need substantial additional funding to complete the development of our product candidates. A failure to obtain this necessary capital when needed could force us to further delay, limit, reduce or terminate our product development or commercialization efforts.</w:t>
      </w:r>
    </w:p>
    <w:p>
      <w:pPr>
        <w:spacing w:after="0" w:line="53" w:lineRule="exact"/>
        <w:rPr>
          <w:rFonts w:ascii="Times New Roman" w:cs="Times New Roman" w:eastAsia="Times New Roman" w:hAnsi="Times New Roman"/>
          <w:sz w:val="18"/>
          <w:szCs w:val="18"/>
          <w:color w:val="auto"/>
        </w:rPr>
      </w:pPr>
    </w:p>
    <w:p>
      <w:pPr>
        <w:ind w:left="800" w:right="40" w:hanging="381"/>
        <w:spacing w:after="0" w:line="282" w:lineRule="auto"/>
        <w:tabs>
          <w:tab w:leader="none" w:pos="8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in every year since our inception. We expect to continue to incur losses over the next several years and may never achieve or maintain profitability.</w:t>
      </w:r>
    </w:p>
    <w:p>
      <w:pPr>
        <w:spacing w:after="0" w:line="53" w:lineRule="exact"/>
        <w:rPr>
          <w:rFonts w:ascii="Times New Roman" w:cs="Times New Roman" w:eastAsia="Times New Roman" w:hAnsi="Times New Roman"/>
          <w:sz w:val="18"/>
          <w:szCs w:val="18"/>
          <w:color w:val="auto"/>
        </w:rPr>
      </w:pPr>
    </w:p>
    <w:p>
      <w:pPr>
        <w:ind w:left="800" w:right="380" w:hanging="381"/>
        <w:spacing w:after="0" w:line="266" w:lineRule="auto"/>
        <w:tabs>
          <w:tab w:leader="none" w:pos="8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development efforts are in the early stages. If we are unable to advance our product candidates through clinical development, obtain regulatory approval and ultimately commercialize our product candidates, or experience significant delays in doing so, our business will be materially harmed.</w:t>
      </w:r>
    </w:p>
    <w:p>
      <w:pPr>
        <w:spacing w:after="0" w:line="67" w:lineRule="exact"/>
        <w:rPr>
          <w:rFonts w:ascii="Times New Roman" w:cs="Times New Roman" w:eastAsia="Times New Roman" w:hAnsi="Times New Roman"/>
          <w:sz w:val="18"/>
          <w:szCs w:val="18"/>
          <w:color w:val="auto"/>
        </w:rPr>
      </w:pPr>
    </w:p>
    <w:p>
      <w:pPr>
        <w:ind w:left="800" w:right="40" w:hanging="381"/>
        <w:spacing w:after="0" w:line="258" w:lineRule="auto"/>
        <w:tabs>
          <w:tab w:leader="none" w:pos="8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highly dependent on the success of our product candidates that we advance into the clinic. All our product candidates will require significant additional preclinical, clinical and manufacturing development before we may be able to seek regulatory approval for and launch a product commercially. If the clinical trials of any of our product candidates fail to demonstrate safety and efficacy to the satisfaction of the FDA or other comparable regulatory authorities, or do not otherwise produce favorable results, we may incur additional costs or experience delays in completing, or ultimately be unable to complete, the development and commercialization of our product candidates.</w:t>
      </w:r>
    </w:p>
    <w:p>
      <w:pPr>
        <w:spacing w:after="0" w:line="75" w:lineRule="exact"/>
        <w:rPr>
          <w:rFonts w:ascii="Times New Roman" w:cs="Times New Roman" w:eastAsia="Times New Roman" w:hAnsi="Times New Roman"/>
          <w:sz w:val="18"/>
          <w:szCs w:val="18"/>
          <w:color w:val="auto"/>
        </w:rPr>
      </w:pPr>
    </w:p>
    <w:p>
      <w:pPr>
        <w:ind w:left="800" w:right="60" w:hanging="381"/>
        <w:spacing w:after="0" w:line="282" w:lineRule="auto"/>
        <w:tabs>
          <w:tab w:leader="none" w:pos="8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data from our clinical trials that we announce or publish from time to time may change as more patients are enrolled and additional data become available.</w:t>
      </w:r>
    </w:p>
    <w:p>
      <w:pPr>
        <w:spacing w:after="0" w:line="53" w:lineRule="exact"/>
        <w:rPr>
          <w:rFonts w:ascii="Times New Roman" w:cs="Times New Roman" w:eastAsia="Times New Roman" w:hAnsi="Times New Roman"/>
          <w:sz w:val="18"/>
          <w:szCs w:val="18"/>
          <w:color w:val="auto"/>
        </w:rPr>
      </w:pPr>
    </w:p>
    <w:p>
      <w:pPr>
        <w:ind w:left="800" w:hanging="381"/>
        <w:spacing w:after="0" w:line="282" w:lineRule="auto"/>
        <w:tabs>
          <w:tab w:leader="none" w:pos="8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depend on timely enrollment of patients in our clinical trials for our product candidates. If we encounter difficulties enrolling patients in our clinical trials, our clinical development activities could be delayed or otherwise adversely affected.</w:t>
      </w:r>
    </w:p>
    <w:p>
      <w:pPr>
        <w:spacing w:after="0" w:line="53" w:lineRule="exact"/>
        <w:rPr>
          <w:rFonts w:ascii="Times New Roman" w:cs="Times New Roman" w:eastAsia="Times New Roman" w:hAnsi="Times New Roman"/>
          <w:sz w:val="18"/>
          <w:szCs w:val="18"/>
          <w:color w:val="auto"/>
        </w:rPr>
      </w:pPr>
    </w:p>
    <w:p>
      <w:pPr>
        <w:ind w:left="800" w:right="520" w:hanging="381"/>
        <w:spacing w:after="0" w:line="282" w:lineRule="auto"/>
        <w:tabs>
          <w:tab w:leader="none" w:pos="8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are difficult to design and implement, can be lengthy and expensive, involve uncertain outcomes and may not ultimately be successful.</w:t>
      </w:r>
    </w:p>
    <w:p>
      <w:pPr>
        <w:spacing w:after="0" w:line="53" w:lineRule="exact"/>
        <w:rPr>
          <w:rFonts w:ascii="Times New Roman" w:cs="Times New Roman" w:eastAsia="Times New Roman" w:hAnsi="Times New Roman"/>
          <w:sz w:val="18"/>
          <w:szCs w:val="18"/>
          <w:color w:val="auto"/>
        </w:rPr>
      </w:pPr>
    </w:p>
    <w:p>
      <w:pPr>
        <w:ind w:left="800" w:right="20" w:hanging="381"/>
        <w:spacing w:after="0" w:line="282" w:lineRule="auto"/>
        <w:tabs>
          <w:tab w:leader="none" w:pos="8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not involved in the early development of PIKTOR; therefore, we are dependent on third parties having accurately generated, collected, interpreted and reported data from certain preclinical and clinical trials of PIKTOR.</w:t>
      </w:r>
    </w:p>
    <w:p>
      <w:pPr>
        <w:spacing w:after="0" w:line="53" w:lineRule="exact"/>
        <w:rPr>
          <w:rFonts w:ascii="Times New Roman" w:cs="Times New Roman" w:eastAsia="Times New Roman" w:hAnsi="Times New Roman"/>
          <w:sz w:val="18"/>
          <w:szCs w:val="18"/>
          <w:color w:val="auto"/>
        </w:rPr>
      </w:pPr>
    </w:p>
    <w:p>
      <w:pPr>
        <w:ind w:left="760" w:right="20" w:hanging="378"/>
        <w:spacing w:after="0" w:line="312" w:lineRule="auto"/>
        <w:tabs>
          <w:tab w:leader="none" w:pos="7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While emerging clinical data from a competitor has provided evidence supporting the multi-node inhibition concept, there is no guarantee that PIKTOR’s specific approach will produce comparable results, and a competitor’s first-mover advantage could limit our commercial opportunity.</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33" w:name="page34"/>
    <w:bookmarkEnd w:id="33"/>
    <w:p>
      <w:pPr>
        <w:jc w:val="both"/>
        <w:ind w:left="800" w:right="160" w:hanging="376"/>
        <w:spacing w:after="0" w:line="266" w:lineRule="auto"/>
        <w:tabs>
          <w:tab w:leader="none" w:pos="8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third parties to conduct the preclinical and clinical trials for our product candidates, and those third parties may not perform satisfactorily, including failing to meet deadlines for the completion of such trials or failing to comply with applicable regulatory requirements.</w:t>
      </w:r>
    </w:p>
    <w:p>
      <w:pPr>
        <w:spacing w:after="0" w:line="67" w:lineRule="exact"/>
        <w:rPr>
          <w:rFonts w:ascii="Times New Roman" w:cs="Times New Roman" w:eastAsia="Times New Roman" w:hAnsi="Times New Roman"/>
          <w:sz w:val="18"/>
          <w:szCs w:val="18"/>
          <w:color w:val="auto"/>
        </w:rPr>
      </w:pPr>
    </w:p>
    <w:p>
      <w:pPr>
        <w:ind w:left="800" w:right="740" w:hanging="381"/>
        <w:spacing w:after="0" w:line="282" w:lineRule="auto"/>
        <w:tabs>
          <w:tab w:leader="none" w:pos="8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establish sales, marketing and distribution capabilities for our product candidates, or enter into sales, marketing and distribution agreements with third parties, we may not be successful in commercializing our product candidates, if approved.</w:t>
      </w:r>
    </w:p>
    <w:p>
      <w:pPr>
        <w:spacing w:after="0" w:line="53" w:lineRule="exact"/>
        <w:rPr>
          <w:rFonts w:ascii="Times New Roman" w:cs="Times New Roman" w:eastAsia="Times New Roman" w:hAnsi="Times New Roman"/>
          <w:sz w:val="18"/>
          <w:szCs w:val="18"/>
          <w:color w:val="auto"/>
        </w:rPr>
      </w:pPr>
    </w:p>
    <w:p>
      <w:pPr>
        <w:ind w:left="800" w:right="1100" w:hanging="381"/>
        <w:spacing w:after="0" w:line="282" w:lineRule="auto"/>
        <w:tabs>
          <w:tab w:leader="none" w:pos="8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rapidly changing industry and face significant competition, which may result in others discovering, developing or commercializing products before or more successfully than we do.</w:t>
      </w:r>
    </w:p>
    <w:p>
      <w:pPr>
        <w:spacing w:after="0" w:line="53" w:lineRule="exact"/>
        <w:rPr>
          <w:rFonts w:ascii="Times New Roman" w:cs="Times New Roman" w:eastAsia="Times New Roman" w:hAnsi="Times New Roman"/>
          <w:sz w:val="18"/>
          <w:szCs w:val="18"/>
          <w:color w:val="auto"/>
        </w:rPr>
      </w:pPr>
    </w:p>
    <w:p>
      <w:pPr>
        <w:ind w:left="800" w:right="600" w:hanging="381"/>
        <w:spacing w:after="0" w:line="282" w:lineRule="auto"/>
        <w:tabs>
          <w:tab w:leader="none" w:pos="8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any of our product candidates receives marketing approval, it may fail to achieve the degree of market acceptance by physicians, patients, third-party payors and others in the medical community necessary for commercial success.</w:t>
      </w:r>
    </w:p>
    <w:p>
      <w:pPr>
        <w:spacing w:after="0" w:line="53" w:lineRule="exact"/>
        <w:rPr>
          <w:rFonts w:ascii="Times New Roman" w:cs="Times New Roman" w:eastAsia="Times New Roman" w:hAnsi="Times New Roman"/>
          <w:sz w:val="18"/>
          <w:szCs w:val="18"/>
          <w:color w:val="auto"/>
        </w:rPr>
      </w:pPr>
    </w:p>
    <w:p>
      <w:pPr>
        <w:ind w:left="800" w:right="360" w:hanging="381"/>
        <w:spacing w:after="0" w:line="282" w:lineRule="auto"/>
        <w:tabs>
          <w:tab w:leader="none" w:pos="8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product candidates will depend on several factors, including obtaining and maintaining patent and trade secret protection and/or regulatory exclusivity for our product candidates.</w:t>
      </w:r>
    </w:p>
    <w:p>
      <w:pPr>
        <w:spacing w:after="0" w:line="53" w:lineRule="exact"/>
        <w:rPr>
          <w:rFonts w:ascii="Times New Roman" w:cs="Times New Roman" w:eastAsia="Times New Roman" w:hAnsi="Times New Roman"/>
          <w:sz w:val="18"/>
          <w:szCs w:val="18"/>
          <w:color w:val="auto"/>
        </w:rPr>
      </w:pPr>
    </w:p>
    <w:p>
      <w:pPr>
        <w:ind w:left="800" w:right="260" w:hanging="381"/>
        <w:spacing w:after="0" w:line="266" w:lineRule="auto"/>
        <w:tabs>
          <w:tab w:leader="none" w:pos="8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protection for our technologies and product candidates, or if the scope of the patent protection obtained is not sufficiently broad, our competitors could develop and commercialize technology and products similar or identical to ours, and our ability to successfully commercialize our technology and product candidates may be impaired.</w:t>
      </w:r>
    </w:p>
    <w:p>
      <w:pPr>
        <w:spacing w:after="0" w:line="67" w:lineRule="exact"/>
        <w:rPr>
          <w:rFonts w:ascii="Times New Roman" w:cs="Times New Roman" w:eastAsia="Times New Roman" w:hAnsi="Times New Roman"/>
          <w:sz w:val="18"/>
          <w:szCs w:val="18"/>
          <w:color w:val="auto"/>
        </w:rPr>
      </w:pPr>
    </w:p>
    <w:p>
      <w:pPr>
        <w:ind w:left="800" w:right="400" w:hanging="376"/>
        <w:spacing w:after="0" w:line="282" w:lineRule="auto"/>
        <w:tabs>
          <w:tab w:leader="none" w:pos="8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initiate legal proceedings alleging that we are infringing their intellectual property rights, the outcome of which would be uncertain and could significantly harm our business.</w:t>
      </w:r>
    </w:p>
    <w:p>
      <w:pPr>
        <w:spacing w:after="0" w:line="53" w:lineRule="exact"/>
        <w:rPr>
          <w:rFonts w:ascii="Times New Roman" w:cs="Times New Roman" w:eastAsia="Times New Roman" w:hAnsi="Times New Roman"/>
          <w:sz w:val="18"/>
          <w:szCs w:val="18"/>
          <w:color w:val="auto"/>
        </w:rPr>
      </w:pPr>
    </w:p>
    <w:p>
      <w:pPr>
        <w:ind w:left="800" w:hanging="381"/>
        <w:spacing w:after="0"/>
        <w:tabs>
          <w:tab w:leader="none" w:pos="8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guarantee that the Acquisition will increase stockholder value.</w:t>
      </w:r>
    </w:p>
    <w:p>
      <w:pPr>
        <w:spacing w:after="0" w:line="117" w:lineRule="exact"/>
        <w:rPr>
          <w:rFonts w:ascii="Times New Roman" w:cs="Times New Roman" w:eastAsia="Times New Roman" w:hAnsi="Times New Roman"/>
          <w:sz w:val="18"/>
          <w:szCs w:val="18"/>
          <w:color w:val="auto"/>
        </w:rPr>
      </w:pPr>
    </w:p>
    <w:p>
      <w:pPr>
        <w:ind w:left="800" w:right="40" w:hanging="381"/>
        <w:spacing w:after="0" w:line="258" w:lineRule="auto"/>
        <w:tabs>
          <w:tab w:leader="none" w:pos="8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terms of the Acquisition and related 2026 Private Placement, we are required to recommend that our stockholders approve the conversion of all outstanding shares of our Series B Preferred Stock into shares of our common stock. We must also obtain stockholder approval of an amendment to our certificate of incorporation to increase the number of shares we are authorized to issue. We cannot guarantee that our stockholders will approve these matters, and if they fail to do so we may be required to settle such shares in cash and our operations would be materially harmed.</w:t>
      </w:r>
    </w:p>
    <w:p>
      <w:pPr>
        <w:spacing w:after="0" w:line="75" w:lineRule="exact"/>
        <w:rPr>
          <w:rFonts w:ascii="Times New Roman" w:cs="Times New Roman" w:eastAsia="Times New Roman" w:hAnsi="Times New Roman"/>
          <w:sz w:val="18"/>
          <w:szCs w:val="18"/>
          <w:color w:val="auto"/>
        </w:rPr>
      </w:pPr>
    </w:p>
    <w:p>
      <w:pPr>
        <w:ind w:left="760" w:right="820" w:hanging="373"/>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successfully integrate the businesses of Sensei and Faeth in the expected timeframe could adversely affect our results of operations, financial condition, and future results.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w:t>
      </w:r>
    </w:p>
    <w:p>
      <w:pPr>
        <w:spacing w:after="0" w:line="11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have incurred significant losses in every year since our inception. We expect to continue to incur losses over the next several years and may never achieve or maintain profitability.</w:t>
      </w:r>
    </w:p>
    <w:p>
      <w:pPr>
        <w:spacing w:after="0" w:line="51" w:lineRule="exact"/>
        <w:rPr>
          <w:sz w:val="20"/>
          <w:szCs w:val="20"/>
          <w:color w:val="auto"/>
        </w:rPr>
      </w:pPr>
    </w:p>
    <w:p>
      <w:pPr>
        <w:ind w:right="40" w:firstLine="576"/>
        <w:spacing w:after="0" w:line="258" w:lineRule="auto"/>
        <w:rPr>
          <w:sz w:val="20"/>
          <w:szCs w:val="20"/>
          <w:color w:val="auto"/>
        </w:rPr>
      </w:pPr>
      <w:r>
        <w:rPr>
          <w:rFonts w:ascii="Times New Roman" w:cs="Times New Roman" w:eastAsia="Times New Roman" w:hAnsi="Times New Roman"/>
          <w:sz w:val="18"/>
          <w:szCs w:val="18"/>
          <w:color w:val="auto"/>
        </w:rPr>
        <w:t>We are a clinical-stage biotechnology company with a limited operating history that may make it difficult to evaluate the success of our business to date and to assess the future viability of our business prospects. Our operations to date have been limited to business planning, including the Acquisition, organizing and staffing our company, raising capital, identifying potential product candidates, conducting clinical trials and preclinical studies for our development programs, entering into licensing agreements, establishing and enhancing our intellectual property portfolio, and providing general and administrative support for these operations.</w:t>
      </w:r>
    </w:p>
    <w:p>
      <w:pPr>
        <w:spacing w:after="0" w:line="75" w:lineRule="exact"/>
        <w:rPr>
          <w:sz w:val="20"/>
          <w:szCs w:val="20"/>
          <w:color w:val="auto"/>
        </w:rPr>
      </w:pPr>
    </w:p>
    <w:p>
      <w:pPr>
        <w:ind w:right="80" w:firstLine="576"/>
        <w:spacing w:after="0" w:line="258" w:lineRule="auto"/>
        <w:rPr>
          <w:sz w:val="20"/>
          <w:szCs w:val="20"/>
          <w:color w:val="auto"/>
        </w:rPr>
      </w:pPr>
      <w:r>
        <w:rPr>
          <w:rFonts w:ascii="Times New Roman" w:cs="Times New Roman" w:eastAsia="Times New Roman" w:hAnsi="Times New Roman"/>
          <w:sz w:val="18"/>
          <w:szCs w:val="18"/>
          <w:color w:val="auto"/>
        </w:rPr>
        <w:t>We have incurred significant operating losses since our inception and expect to continue to incur losses for the foreseeable future. Our net loss was $170.2 million and $6.9 million for the three months ended March 31, 2026 and 2025, respectively. As of March 31, 2026, we had an accumulated deficit of $453.4 million and cash, cash equivalents and marketable securities of $202.8 million, which includes $183.1 million in net proceeds received in the 2026 Private Placement. We have funded our operations to date primarily with proceeds from the sale of our equity securities, including the 2026 Private Placement, and historically from borrowings of convertible debt.</w:t>
      </w:r>
    </w:p>
    <w:p>
      <w:pPr>
        <w:spacing w:after="0" w:line="75" w:lineRule="exact"/>
        <w:rPr>
          <w:sz w:val="20"/>
          <w:szCs w:val="20"/>
          <w:color w:val="auto"/>
        </w:rPr>
      </w:pPr>
    </w:p>
    <w:p>
      <w:pPr>
        <w:ind w:firstLine="576"/>
        <w:spacing w:after="0" w:line="261" w:lineRule="auto"/>
        <w:rPr>
          <w:sz w:val="20"/>
          <w:szCs w:val="20"/>
          <w:color w:val="auto"/>
        </w:rPr>
      </w:pPr>
      <w:r>
        <w:rPr>
          <w:rFonts w:ascii="Times New Roman" w:cs="Times New Roman" w:eastAsia="Times New Roman" w:hAnsi="Times New Roman"/>
          <w:sz w:val="18"/>
          <w:szCs w:val="18"/>
          <w:color w:val="auto"/>
        </w:rPr>
        <w:t>We have no products approved for commercial sale, have not generated any revenue from commercial sales of our product candidates, and are devoting substantially all of our financial resources and efforts to the research and development of PIKTOR. Investment in clinical product development is highly speculative because it entails substantial upfront capital expenditures and significant risk that any potential product candidate will fail to demonstrate adequate effect or an acceptable safety profile, gain regulatory approval and/or become commercially viable.</w:t>
      </w:r>
    </w:p>
    <w:p>
      <w:pPr>
        <w:spacing w:after="0" w:line="72" w:lineRule="exact"/>
        <w:rPr>
          <w:sz w:val="20"/>
          <w:szCs w:val="20"/>
          <w:color w:val="auto"/>
        </w:rPr>
      </w:pPr>
    </w:p>
    <w:p>
      <w:pPr>
        <w:ind w:right="60" w:firstLine="576"/>
        <w:spacing w:after="0" w:line="261" w:lineRule="auto"/>
        <w:rPr>
          <w:sz w:val="20"/>
          <w:szCs w:val="20"/>
          <w:color w:val="auto"/>
        </w:rPr>
      </w:pPr>
      <w:r>
        <w:rPr>
          <w:rFonts w:ascii="Times New Roman" w:cs="Times New Roman" w:eastAsia="Times New Roman" w:hAnsi="Times New Roman"/>
          <w:sz w:val="18"/>
          <w:szCs w:val="18"/>
          <w:color w:val="auto"/>
        </w:rPr>
        <w:t>We expect that it will take at least several years until any of our product candidates receive marketing approval and are commercialized, and we may never be successful in obtaining marketing approval and commercializing product candidates. We expect to continue to incur significant expenses and increasing operating losses for the foreseeable future. These net losses will adversely impact our stockholders’ equity and net assets and may fluctuate significantly from quarter to quarter and year to year.</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4" w:name="page35"/>
    <w:bookmarkEnd w:id="34"/>
    <w:p>
      <w:pPr>
        <w:ind w:right="100" w:firstLine="576"/>
        <w:spacing w:after="0" w:line="258"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and eventually commercializing products that generate significant revenue. Achievement will require us to be successful in a range of challenging activities, including completing preclinical studies and clinical trials of our product candidates, obtaining regulatory approval, manufacturing, marketing and selling any products for which we may obtain regulatory approval, as well as discovering and developing additional product candidates. We may never succeed in these activities and, even if we do, may never generate revenues that are significant enough to achieve profitability.</w:t>
      </w:r>
    </w:p>
    <w:p>
      <w:pPr>
        <w:spacing w:after="0" w:line="75" w:lineRule="exact"/>
        <w:rPr>
          <w:sz w:val="20"/>
          <w:szCs w:val="20"/>
          <w:color w:val="auto"/>
        </w:rPr>
      </w:pPr>
    </w:p>
    <w:p>
      <w:pPr>
        <w:ind w:right="60" w:firstLine="576"/>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the development and commercialization of therapeutic product candidates, we are unable to accurately predict the timing or amount of expenses or when, or if, we will be able to achieve and maintain profitability. If we are required by regulatory authorities to perform studies in addition to those currently expected, or if there are any delays in the initiation and completion of our clinical trials or the development of any of our product candidates, our expenses could increase and profitability could be further delayed.</w:t>
      </w:r>
    </w:p>
    <w:p>
      <w:pPr>
        <w:spacing w:after="0" w:line="72" w:lineRule="exact"/>
        <w:rPr>
          <w:sz w:val="20"/>
          <w:szCs w:val="20"/>
          <w:color w:val="auto"/>
        </w:rPr>
      </w:pPr>
    </w:p>
    <w:p>
      <w:pPr>
        <w:ind w:firstLine="576"/>
        <w:spacing w:after="0" w:line="266" w:lineRule="auto"/>
        <w:rPr>
          <w:sz w:val="20"/>
          <w:szCs w:val="20"/>
          <w:color w:val="auto"/>
        </w:rPr>
      </w:pPr>
      <w:r>
        <w:rPr>
          <w:rFonts w:ascii="Times New Roman" w:cs="Times New Roman" w:eastAsia="Times New Roman" w:hAnsi="Times New Roman"/>
          <w:sz w:val="18"/>
          <w:szCs w:val="18"/>
          <w:color w:val="auto"/>
        </w:rPr>
        <w:t>Even if we achieve profitability, we may not be able to sustain or increase profitability on a quarterly or annual basis. Our failure to become and remain profitable would depress the value of our common stock and could impair our ability to raise capital, expand our business, maintain our research and development efforts or continue our operations. A decline in the value of our common stock could also cause you to lose all or part of your investment.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history may make it difficult for you to evaluate the success of our business to date and to assess our future viability.</w:t>
      </w:r>
    </w:p>
    <w:p>
      <w:pPr>
        <w:spacing w:after="0" w:line="121" w:lineRule="exact"/>
        <w:rPr>
          <w:sz w:val="20"/>
          <w:szCs w:val="20"/>
          <w:color w:val="auto"/>
        </w:rPr>
      </w:pPr>
    </w:p>
    <w:p>
      <w:pPr>
        <w:ind w:right="180" w:firstLine="576"/>
        <w:spacing w:after="0" w:line="256" w:lineRule="auto"/>
        <w:rPr>
          <w:sz w:val="20"/>
          <w:szCs w:val="20"/>
          <w:color w:val="auto"/>
        </w:rPr>
      </w:pPr>
      <w:r>
        <w:rPr>
          <w:rFonts w:ascii="Times New Roman" w:cs="Times New Roman" w:eastAsia="Times New Roman" w:hAnsi="Times New Roman"/>
          <w:sz w:val="18"/>
          <w:szCs w:val="18"/>
          <w:color w:val="auto"/>
        </w:rPr>
        <w:t>As an organization, we have not demonstrated an ability to successfully complete clinical trials, obtain regulatory approvals, manufacture our product candidates at commercial scale or arrange for a third party to do so on our behalf, conduct sales and marketing activities necessary for successful commercialization, or obtain reimbursement in the countries of sale. We may encounter unforeseen expenses, difficulties, complications, and delays in achieving our business objectives. Our operating history makes any assessment of our future success or viability subject to significant uncertainty, particularly with respect to the Acquisition. If we do not address these risks successfully or are unable to transition at some point from a company with a research and development focus to a company capable of supporting commercial activities, then our business will suffer.</w:t>
      </w:r>
    </w:p>
    <w:p>
      <w:pPr>
        <w:spacing w:after="0" w:line="183"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to complete the development of our product candidates. A failure to obtain this necessary capital when needed could force us to delay, limit, reduce or terminate our product development or commercialization efforts.</w:t>
      </w:r>
    </w:p>
    <w:p>
      <w:pPr>
        <w:spacing w:after="0" w:line="51" w:lineRule="exact"/>
        <w:rPr>
          <w:sz w:val="20"/>
          <w:szCs w:val="20"/>
          <w:color w:val="auto"/>
        </w:rPr>
      </w:pPr>
    </w:p>
    <w:p>
      <w:pPr>
        <w:jc w:val="both"/>
        <w:ind w:right="60" w:firstLine="576"/>
        <w:spacing w:after="0" w:line="261" w:lineRule="auto"/>
        <w:rPr>
          <w:sz w:val="20"/>
          <w:szCs w:val="20"/>
          <w:color w:val="auto"/>
        </w:rPr>
      </w:pPr>
      <w:r>
        <w:rPr>
          <w:rFonts w:ascii="Times New Roman" w:cs="Times New Roman" w:eastAsia="Times New Roman" w:hAnsi="Times New Roman"/>
          <w:sz w:val="18"/>
          <w:szCs w:val="18"/>
          <w:color w:val="auto"/>
        </w:rPr>
        <w:t>Since our inception, we have used substantial amounts of capital to fund the development of our product candidates and operations. We expect our research and development expenses to increase in connection with our ongoing activities, particularly as our product candidates enter and advance through preclinical studies and clinical trials. We will require substantial additional funding to meet our financial needs and to pursue our business objectives. We will require significant additional capital to, among other things:</w:t>
      </w:r>
    </w:p>
    <w:p>
      <w:pPr>
        <w:spacing w:after="0" w:line="72" w:lineRule="exact"/>
        <w:rPr>
          <w:sz w:val="20"/>
          <w:szCs w:val="20"/>
          <w:color w:val="auto"/>
        </w:rPr>
      </w:pPr>
    </w:p>
    <w:p>
      <w:pPr>
        <w:ind w:left="800" w:hanging="381"/>
        <w:spacing w:after="0"/>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our ongoing and planned clinical trials, preclinical studies and IND-enabling activities;</w:t>
      </w:r>
    </w:p>
    <w:p>
      <w:pPr>
        <w:spacing w:after="0" w:line="117" w:lineRule="exact"/>
        <w:rPr>
          <w:rFonts w:ascii="Times New Roman" w:cs="Times New Roman" w:eastAsia="Times New Roman" w:hAnsi="Times New Roman"/>
          <w:sz w:val="18"/>
          <w:szCs w:val="18"/>
          <w:color w:val="auto"/>
        </w:rPr>
      </w:pPr>
    </w:p>
    <w:p>
      <w:pPr>
        <w:ind w:left="800" w:hanging="381"/>
        <w:spacing w:after="0"/>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enroll, and complete additional clinical trials for our product candidates;</w:t>
      </w:r>
    </w:p>
    <w:p>
      <w:pPr>
        <w:spacing w:after="0" w:line="117" w:lineRule="exact"/>
        <w:rPr>
          <w:rFonts w:ascii="Times New Roman" w:cs="Times New Roman" w:eastAsia="Times New Roman" w:hAnsi="Times New Roman"/>
          <w:sz w:val="18"/>
          <w:szCs w:val="18"/>
          <w:color w:val="auto"/>
        </w:rPr>
      </w:pPr>
    </w:p>
    <w:p>
      <w:pPr>
        <w:ind w:left="800" w:hanging="381"/>
        <w:spacing w:after="0"/>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and obtain regulatory approvals for our product candidates;</w:t>
      </w:r>
    </w:p>
    <w:p>
      <w:pPr>
        <w:spacing w:after="0" w:line="117" w:lineRule="exact"/>
        <w:rPr>
          <w:rFonts w:ascii="Times New Roman" w:cs="Times New Roman" w:eastAsia="Times New Roman" w:hAnsi="Times New Roman"/>
          <w:sz w:val="18"/>
          <w:szCs w:val="18"/>
          <w:color w:val="auto"/>
        </w:rPr>
      </w:pPr>
    </w:p>
    <w:p>
      <w:pPr>
        <w:ind w:left="800" w:hanging="381"/>
        <w:spacing w:after="0"/>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and maintain our manufacturing capabilities or enter into third-party manufacturing arrangements;</w:t>
      </w:r>
    </w:p>
    <w:p>
      <w:pPr>
        <w:spacing w:after="0" w:line="117" w:lineRule="exact"/>
        <w:rPr>
          <w:rFonts w:ascii="Times New Roman" w:cs="Times New Roman" w:eastAsia="Times New Roman" w:hAnsi="Times New Roman"/>
          <w:sz w:val="18"/>
          <w:szCs w:val="18"/>
          <w:color w:val="auto"/>
        </w:rPr>
      </w:pPr>
    </w:p>
    <w:p>
      <w:pPr>
        <w:ind w:left="800" w:hanging="381"/>
        <w:spacing w:after="0"/>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and protect our intellectual property portfolio; and</w:t>
      </w:r>
    </w:p>
    <w:p>
      <w:pPr>
        <w:spacing w:after="0" w:line="117" w:lineRule="exact"/>
        <w:rPr>
          <w:rFonts w:ascii="Times New Roman" w:cs="Times New Roman" w:eastAsia="Times New Roman" w:hAnsi="Times New Roman"/>
          <w:sz w:val="18"/>
          <w:szCs w:val="18"/>
          <w:color w:val="auto"/>
        </w:rPr>
      </w:pPr>
    </w:p>
    <w:p>
      <w:pPr>
        <w:ind w:left="800" w:hanging="381"/>
        <w:spacing w:after="0"/>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our general and administrative operations.</w:t>
      </w:r>
    </w:p>
    <w:p>
      <w:pPr>
        <w:spacing w:after="0" w:line="333" w:lineRule="exact"/>
        <w:rPr>
          <w:sz w:val="20"/>
          <w:szCs w:val="20"/>
          <w:color w:val="auto"/>
        </w:rPr>
      </w:pPr>
    </w:p>
    <w:p>
      <w:pPr>
        <w:ind w:right="360" w:firstLine="576"/>
        <w:spacing w:after="0" w:line="282" w:lineRule="auto"/>
        <w:rPr>
          <w:sz w:val="20"/>
          <w:szCs w:val="20"/>
          <w:color w:val="auto"/>
        </w:rPr>
      </w:pPr>
      <w:r>
        <w:rPr>
          <w:rFonts w:ascii="Times New Roman" w:cs="Times New Roman" w:eastAsia="Times New Roman" w:hAnsi="Times New Roman"/>
          <w:sz w:val="18"/>
          <w:szCs w:val="18"/>
          <w:color w:val="auto"/>
        </w:rPr>
        <w:t>In addition, if we obtain marketing approval for any of our product candidates, we will incur significant commercialization expenses related to marketing, sales, manufacturing and distribution.</w:t>
      </w:r>
    </w:p>
    <w:p>
      <w:pPr>
        <w:spacing w:after="0" w:line="54" w:lineRule="exact"/>
        <w:rPr>
          <w:sz w:val="20"/>
          <w:szCs w:val="20"/>
          <w:color w:val="auto"/>
        </w:rPr>
      </w:pPr>
    </w:p>
    <w:p>
      <w:pPr>
        <w:ind w:right="80" w:firstLine="576"/>
        <w:spacing w:after="0" w:line="258" w:lineRule="auto"/>
        <w:rPr>
          <w:sz w:val="20"/>
          <w:szCs w:val="20"/>
          <w:color w:val="auto"/>
        </w:rPr>
      </w:pPr>
      <w:r>
        <w:rPr>
          <w:rFonts w:ascii="Times New Roman" w:cs="Times New Roman" w:eastAsia="Times New Roman" w:hAnsi="Times New Roman"/>
          <w:sz w:val="18"/>
          <w:szCs w:val="18"/>
          <w:color w:val="auto"/>
        </w:rPr>
        <w:t>Failure to raise capital as and when needed would have a negative impact on our financial condition and ability to develop our product candidates. Furthermore, we cannot be certain that additional funding will be available on acceptable terms. If we are unable to raise additional capital in sufficient amounts or on terms acceptable to us, we may have to significantly delay, scale back or discontinue the development or commercialization of our product candidates or other research and development initiatives, and any of our current or future license agreements may be terminated if we are unable to meet the payment or other obligations under the agreements.</w:t>
      </w:r>
    </w:p>
    <w:p>
      <w:pPr>
        <w:spacing w:after="0" w:line="71"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51" w:lineRule="exact"/>
        <w:rPr>
          <w:sz w:val="20"/>
          <w:szCs w:val="20"/>
          <w:color w:val="auto"/>
        </w:rPr>
      </w:pPr>
    </w:p>
    <w:p>
      <w:pPr>
        <w:jc w:val="both"/>
        <w:ind w:right="220" w:firstLine="576"/>
        <w:spacing w:after="0" w:line="261" w:lineRule="auto"/>
        <w:rPr>
          <w:sz w:val="20"/>
          <w:szCs w:val="20"/>
          <w:color w:val="auto"/>
        </w:rPr>
      </w:pPr>
      <w:r>
        <w:rPr>
          <w:rFonts w:ascii="Times New Roman" w:cs="Times New Roman" w:eastAsia="Times New Roman" w:hAnsi="Times New Roman"/>
          <w:sz w:val="18"/>
          <w:szCs w:val="18"/>
          <w:color w:val="auto"/>
        </w:rPr>
        <w:t>We expect that significant additional capital may be needed in the future to continue our planned operations, including conducting clinical trials, commercialization efforts, research and development activities and costs associated with operating a public company. Until such time, if ever, as we can generate substantial product revenues, we expect to finance our cash needs through any or a combination of securities offerings, debt financings, license and collaboration agreements and research grants. If we raise capital</w:t>
      </w: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35" w:name="page36"/>
    <w:bookmarkEnd w:id="35"/>
    <w:p>
      <w:pPr>
        <w:ind w:right="40"/>
        <w:spacing w:after="0" w:line="282" w:lineRule="auto"/>
        <w:rPr>
          <w:sz w:val="20"/>
          <w:szCs w:val="20"/>
          <w:color w:val="auto"/>
        </w:rPr>
      </w:pPr>
      <w:r>
        <w:rPr>
          <w:rFonts w:ascii="Times New Roman" w:cs="Times New Roman" w:eastAsia="Times New Roman" w:hAnsi="Times New Roman"/>
          <w:sz w:val="18"/>
          <w:szCs w:val="18"/>
          <w:color w:val="auto"/>
        </w:rPr>
        <w:t>through securities offerings, such sales are likely to result in material dilution to our existing stockholders, and new investors could gain rights, preferences and privileges senior to the holders of our common stock.</w:t>
      </w:r>
    </w:p>
    <w:p>
      <w:pPr>
        <w:spacing w:after="0" w:line="54" w:lineRule="exact"/>
        <w:rPr>
          <w:sz w:val="20"/>
          <w:szCs w:val="20"/>
          <w:color w:val="auto"/>
        </w:rPr>
      </w:pPr>
    </w:p>
    <w:p>
      <w:pPr>
        <w:ind w:right="100" w:firstLine="576"/>
        <w:spacing w:after="0" w:line="258"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equity, warrants to purchase equity, and/or convertible debt securities, your ownership interest will be diluted, and the terms of these securities may include liquidation or other preferences that adversely affect your rights as a stockholder. Debt financing and preferred equity financing, if available, could result in fixed payment obligations, and we may be required to accept terms that restrict our ability to incur additional indebtedness, force us to maintain specified liquidity or other ratios or restrict our ability to pay dividends or make acquisitions.</w:t>
      </w:r>
    </w:p>
    <w:p>
      <w:pPr>
        <w:spacing w:after="0" w:line="75" w:lineRule="exact"/>
        <w:rPr>
          <w:sz w:val="20"/>
          <w:szCs w:val="20"/>
          <w:color w:val="auto"/>
        </w:rPr>
      </w:pPr>
    </w:p>
    <w:p>
      <w:pPr>
        <w:ind w:right="60" w:firstLine="576"/>
        <w:spacing w:after="0" w:line="254"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In addition, we could also be required to seek funds through arrangements with collaborators or others at an earlier stage than otherwise would be desirable. If we raise funds through research grants, we may be subject to certain requirements, which may limit our ability to use the funds or require us to share information from our research and development. If we are unable to raise additional funds through equity or debt financings when needed, we may be required to delay, limit, reduce or terminate our product development or future commercialization efforts or grant rights to a third party to develop and market product candidates that we would otherwise prefer to develop and market ourselves. Raising additional capital through any of these or other means could adversely affect our business and the holdings or rights of our stockholders, and may cause the market price of our common stock to decline.</w:t>
      </w:r>
    </w:p>
    <w:p>
      <w:pPr>
        <w:spacing w:after="0" w:line="80" w:lineRule="exact"/>
        <w:rPr>
          <w:sz w:val="20"/>
          <w:szCs w:val="20"/>
          <w:color w:val="auto"/>
        </w:rPr>
      </w:pPr>
    </w:p>
    <w:p>
      <w:pPr>
        <w:ind w:firstLine="576"/>
        <w:spacing w:after="0" w:line="256" w:lineRule="auto"/>
        <w:rPr>
          <w:sz w:val="20"/>
          <w:szCs w:val="20"/>
          <w:color w:val="auto"/>
        </w:rPr>
      </w:pPr>
      <w:r>
        <w:rPr>
          <w:rFonts w:ascii="Times New Roman" w:cs="Times New Roman" w:eastAsia="Times New Roman" w:hAnsi="Times New Roman"/>
          <w:sz w:val="18"/>
          <w:szCs w:val="18"/>
          <w:color w:val="auto"/>
        </w:rPr>
        <w:t>In addition, we may seek additional capital due to favorable market conditions or strategic considerations even if we believe that we have sufficient funds for our current or future operating plans. If we raise additional funds through collaboration and licensing arrangements with third parties, we may have to relinquish some rights to our technologies or our product candidates on terms that are not favorable to us. Any additional capital raising efforts may divert our management from their day-to-day activities, which may adversely affect our ability to develop and commercialize our current and future product candidates, if approved. If we are unable to raise capital when needed or on attractive terms, we could be forced to further delay, reduce or altogether cease our research and development programs or future commercialization efforts.</w:t>
      </w:r>
    </w:p>
    <w:p>
      <w:pPr>
        <w:spacing w:after="0" w:line="7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independent registered public accounting firm has expressed substantial doubt about our ability to continue as a going concern. This conclusion is driven by contingent cash settlement provisions of our Series B Preferred Stock and is not based on insufficiency of our cash resources to fund currently planned operations.</w:t>
      </w:r>
    </w:p>
    <w:p>
      <w:pPr>
        <w:spacing w:after="0" w:line="175" w:lineRule="exact"/>
        <w:rPr>
          <w:sz w:val="20"/>
          <w:szCs w:val="20"/>
          <w:color w:val="auto"/>
        </w:rPr>
      </w:pPr>
    </w:p>
    <w:p>
      <w:pPr>
        <w:ind w:right="480" w:firstLine="576"/>
        <w:spacing w:after="0" w:line="266" w:lineRule="auto"/>
        <w:rPr>
          <w:sz w:val="20"/>
          <w:szCs w:val="20"/>
          <w:color w:val="auto"/>
        </w:rPr>
      </w:pPr>
      <w:r>
        <w:rPr>
          <w:rFonts w:ascii="Times New Roman" w:cs="Times New Roman" w:eastAsia="Times New Roman" w:hAnsi="Times New Roman"/>
          <w:sz w:val="18"/>
          <w:szCs w:val="18"/>
          <w:color w:val="auto"/>
        </w:rPr>
        <w:t>The audit report of our independent registered public accounting firm accompanying our consolidated financial statements for the year ended December 31, 2025 contains an explanatory paragraph expressing substantial doubt about our ability to continue as a going concern. The financial statements included in this Quarterly Report continue to reflect that conclusion in Note 1.</w:t>
      </w:r>
    </w:p>
    <w:p>
      <w:pPr>
        <w:spacing w:after="0" w:line="68" w:lineRule="exact"/>
        <w:rPr>
          <w:sz w:val="20"/>
          <w:szCs w:val="20"/>
          <w:color w:val="auto"/>
        </w:rPr>
      </w:pPr>
    </w:p>
    <w:p>
      <w:pPr>
        <w:ind w:right="40" w:firstLine="576"/>
        <w:spacing w:after="0" w:line="261" w:lineRule="auto"/>
        <w:rPr>
          <w:sz w:val="20"/>
          <w:szCs w:val="20"/>
          <w:color w:val="auto"/>
        </w:rPr>
      </w:pPr>
      <w:r>
        <w:rPr>
          <w:rFonts w:ascii="Times New Roman" w:cs="Times New Roman" w:eastAsia="Times New Roman" w:hAnsi="Times New Roman"/>
          <w:sz w:val="18"/>
          <w:szCs w:val="18"/>
          <w:color w:val="auto"/>
        </w:rPr>
        <w:t>The substantial doubt conclusion is not based on a determination that our existing cash, cash equivalents and marketable securities — which were $202.8 million as of March 31, 2026 — are insufficient to fund our currently planned operations. Rather, the conclusion is driven by the contingent cash settlement provisions of our Series B Non-Voting Convertible Preferred Stock that we issued in February 2026 in connection with the Acquisition of Faeth Therapeutics and the related 2026 Private Placement.</w:t>
      </w:r>
    </w:p>
    <w:p>
      <w:pPr>
        <w:spacing w:after="0" w:line="72" w:lineRule="exact"/>
        <w:rPr>
          <w:sz w:val="20"/>
          <w:szCs w:val="20"/>
          <w:color w:val="auto"/>
        </w:rPr>
      </w:pPr>
    </w:p>
    <w:p>
      <w:pPr>
        <w:ind w:right="20" w:firstLine="576"/>
        <w:spacing w:after="0" w:line="256" w:lineRule="auto"/>
        <w:rPr>
          <w:sz w:val="20"/>
          <w:szCs w:val="20"/>
          <w:color w:val="auto"/>
        </w:rPr>
      </w:pPr>
      <w:r>
        <w:rPr>
          <w:rFonts w:ascii="Times New Roman" w:cs="Times New Roman" w:eastAsia="Times New Roman" w:hAnsi="Times New Roman"/>
          <w:sz w:val="18"/>
          <w:szCs w:val="18"/>
          <w:color w:val="auto"/>
        </w:rPr>
        <w:t>The Certificate of Designation governing the Series B Preferred Stock provides that, at any time following the earlier of (i) approval of the Company Stockholder Matters or (ii) August 17, 2026 (the date that is six months following the initial issuance of the Series B Preferred Stock), if we fail to deliver shares of common stock to a converting holder within the timeframes required by the Certificate of Designation, the holder may require us to pay cash in lieu of delivering such shares, in an amount equal to the fair value of the undelivered shares determined by reference to our then-current common stock trading price. Because the aggregate magnitude of any such cash settlement obligations would depend on our trading price and the number of conversion notices submitted, such obligations could, in the aggregate, substantially exceed our cash resources.</w:t>
      </w:r>
    </w:p>
    <w:p>
      <w:pPr>
        <w:spacing w:after="0" w:line="79" w:lineRule="exact"/>
        <w:rPr>
          <w:sz w:val="20"/>
          <w:szCs w:val="20"/>
          <w:color w:val="auto"/>
        </w:rPr>
      </w:pPr>
    </w:p>
    <w:p>
      <w:pPr>
        <w:ind w:firstLine="576"/>
        <w:spacing w:after="0" w:line="254" w:lineRule="auto"/>
        <w:rPr>
          <w:sz w:val="20"/>
          <w:szCs w:val="20"/>
          <w:color w:val="auto"/>
        </w:rPr>
      </w:pPr>
      <w:r>
        <w:rPr>
          <w:rFonts w:ascii="Times New Roman" w:cs="Times New Roman" w:eastAsia="Times New Roman" w:hAnsi="Times New Roman"/>
          <w:sz w:val="18"/>
          <w:szCs w:val="18"/>
          <w:color w:val="auto"/>
        </w:rPr>
        <w:t>We have taken the actions we believe are necessary to enable timely delivery of shares of common stock upon conversion of the Series B Preferred Stock. We have called a meeting of our stockholders to be held on June 10, 2026 to vote on the Company Stockholder Matters, including the Charter Amendment Proposal that would increase our authorized common stock to a number sufficient to permit conversion in full of the Series B Preferred Stock, and we have filed our definitive proxy statement in connection with that meeting. We have also filed our Nasdaq Listing Application in connection with the change of control resulting from the Acquisition. However, we cannot guarantee that the Company Stockholder Matters will be approved at the stockholder meeting (or at any subsequent adjournment), that our Nasdaq Listing Application will be conditionally approved, or that we will be able to timely deliver shares of common stock upon any conversion notice — particularly any optional conversion notice submitted by holders subject to beneficial ownership limitations following automatic conversion of other holders' shares.</w:t>
      </w:r>
    </w:p>
    <w:p>
      <w:pPr>
        <w:spacing w:after="0" w:line="84" w:lineRule="exact"/>
        <w:rPr>
          <w:sz w:val="20"/>
          <w:szCs w:val="20"/>
          <w:color w:val="auto"/>
        </w:rPr>
      </w:pPr>
    </w:p>
    <w:p>
      <w:pPr>
        <w:ind w:right="120" w:firstLine="576"/>
        <w:spacing w:after="0" w:line="261" w:lineRule="auto"/>
        <w:rPr>
          <w:sz w:val="20"/>
          <w:szCs w:val="20"/>
          <w:color w:val="auto"/>
        </w:rPr>
      </w:pPr>
      <w:r>
        <w:rPr>
          <w:rFonts w:ascii="Times New Roman" w:cs="Times New Roman" w:eastAsia="Times New Roman" w:hAnsi="Times New Roman"/>
          <w:sz w:val="18"/>
          <w:szCs w:val="18"/>
          <w:color w:val="auto"/>
        </w:rPr>
        <w:t>If we are unable to satisfy any of these conditions or otherwise fail to timely deliver shares of common stock upon conversion, the resulting cash settlement obligations could be substantial and could materially and adversely affect our business, financial condition, results of operations and prospects. In addition, the going concern explanatory paragraph in our auditor's report may itself adversely affect our ability to raise additional capital on favorable terms, our relationships with vendors, contract research</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organizations, contract manufacturers and other counterparties, and the trading price of our common stock.</w:t>
      </w:r>
    </w:p>
    <w:p>
      <w:pPr>
        <w:spacing w:after="0" w:line="117" w:lineRule="exact"/>
        <w:rPr>
          <w:sz w:val="20"/>
          <w:szCs w:val="20"/>
          <w:color w:val="auto"/>
        </w:rPr>
      </w:pPr>
    </w:p>
    <w:p>
      <w:pPr>
        <w:ind w:right="180" w:firstLine="576"/>
        <w:spacing w:after="0" w:line="282" w:lineRule="auto"/>
        <w:rPr>
          <w:sz w:val="20"/>
          <w:szCs w:val="20"/>
          <w:color w:val="auto"/>
        </w:rPr>
      </w:pPr>
      <w:r>
        <w:rPr>
          <w:rFonts w:ascii="Times New Roman" w:cs="Times New Roman" w:eastAsia="Times New Roman" w:hAnsi="Times New Roman"/>
          <w:sz w:val="18"/>
          <w:szCs w:val="18"/>
          <w:color w:val="auto"/>
        </w:rPr>
        <w:t>For additional discussion, see Note 1 to the condensed consolidated financial statements included elsewhere in this Quarterly Report and the risk factors below under "Risks Related to the Acquisition."</w:t>
      </w:r>
    </w:p>
    <w:p>
      <w:pPr>
        <w:spacing w:after="0" w:line="5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economic downturns, inflation, increases in interest rates, natural disasters, public health crises such as pandemics, political crises, geopolitical events, or other macroeconomic conditions, which have in the past and may in the future negatively impact our business and financial performance.</w:t>
      </w:r>
    </w:p>
    <w:p>
      <w:pPr>
        <w:spacing w:after="0" w:line="67" w:lineRule="exact"/>
        <w:rPr>
          <w:sz w:val="20"/>
          <w:szCs w:val="20"/>
          <w:color w:val="auto"/>
        </w:rPr>
      </w:pPr>
    </w:p>
    <w:p>
      <w:pPr>
        <w:ind w:right="80" w:firstLine="576"/>
        <w:spacing w:after="0" w:line="258" w:lineRule="auto"/>
        <w:rPr>
          <w:sz w:val="20"/>
          <w:szCs w:val="20"/>
          <w:color w:val="auto"/>
        </w:rPr>
      </w:pPr>
      <w:r>
        <w:rPr>
          <w:rFonts w:ascii="Times New Roman" w:cs="Times New Roman" w:eastAsia="Times New Roman" w:hAnsi="Times New Roman"/>
          <w:sz w:val="18"/>
          <w:szCs w:val="18"/>
          <w:color w:val="auto"/>
        </w:rPr>
        <w:t>The global economy, including credit and financial markets, has experienced extreme volatility and disruptions, including, among other things, severely diminished liquidity and credit availability, declines in consumer confidence, declines in economic growth, supply chain shortages, increases in inflation rates, higher interest rates and uncertainty about economic stability, due to reasons including, among other things, geopolitical conflicts, political changes and trends such as protectionism, economic nationalism resulting in government actions impacting international trade agreements or imposing trade restrictions such as tariffs and retaliatory counter measures.</w:t>
      </w:r>
    </w:p>
    <w:p>
      <w:pPr>
        <w:spacing w:after="0" w:line="75" w:lineRule="exact"/>
        <w:rPr>
          <w:sz w:val="20"/>
          <w:szCs w:val="20"/>
          <w:color w:val="auto"/>
        </w:rPr>
      </w:pPr>
    </w:p>
    <w:p>
      <w:pPr>
        <w:ind w:right="80" w:firstLine="621"/>
        <w:spacing w:after="0" w:line="255" w:lineRule="auto"/>
        <w:rPr>
          <w:sz w:val="20"/>
          <w:szCs w:val="20"/>
          <w:color w:val="auto"/>
        </w:rPr>
      </w:pPr>
      <w:r>
        <w:rPr>
          <w:rFonts w:ascii="Times New Roman" w:cs="Times New Roman" w:eastAsia="Times New Roman" w:hAnsi="Times New Roman"/>
          <w:sz w:val="18"/>
          <w:szCs w:val="18"/>
          <w:color w:val="auto"/>
        </w:rPr>
        <w:t>A widespread public health crisis such as a pandemic could result in significant disruption of global financial markets, reducing our ability to access capital, which could negatively affect our liquidity. In addition, a recession or market correction resulting from the effects of public health crises could materially affect our business and the value of our common stock. It may have further negative impacts, such as (a) a global or U.S. recession or other economic crisis; (b) credit and capital markets volatility (and access to these markets, including by our suppliers and customers); (c) manufacturing supply disruption due to travel restrictions or other government actions; (d) disruptions in raw material supply, our manufacturing operations, or in our distribution and supply chain; and (e) our ability to conduct planned clinical trials and commercialization activities. The ultimate impact of a public health crisis is highly uncertain.</w:t>
      </w:r>
    </w:p>
    <w:p>
      <w:pPr>
        <w:spacing w:after="0" w:line="81" w:lineRule="exact"/>
        <w:rPr>
          <w:sz w:val="20"/>
          <w:szCs w:val="20"/>
          <w:color w:val="auto"/>
        </w:rPr>
      </w:pPr>
    </w:p>
    <w:p>
      <w:pPr>
        <w:ind w:right="160" w:firstLine="576"/>
        <w:spacing w:after="0" w:line="261" w:lineRule="auto"/>
        <w:rPr>
          <w:sz w:val="20"/>
          <w:szCs w:val="20"/>
          <w:color w:val="auto"/>
        </w:rPr>
      </w:pPr>
      <w:r>
        <w:rPr>
          <w:rFonts w:ascii="Times New Roman" w:cs="Times New Roman" w:eastAsia="Times New Roman" w:hAnsi="Times New Roman"/>
          <w:sz w:val="18"/>
          <w:szCs w:val="18"/>
          <w:color w:val="auto"/>
        </w:rPr>
        <w:t>Fluctuating interest rates, coupled with reduced government spending and volatility in financial markets, may increase economic uncertainty and affect consumer spending. If the equity and credit markets deteriorate, including as a result of political unrest or war, it may make any necessary debt or equity financing more difficult to obtain in a timely manner or on favorable terms, more costly or more dilutive. Increased inflation rates can adversely affect us by increasing our costs, including labor and employee benefit costs.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of our Product Candidates</w:t>
      </w:r>
    </w:p>
    <w:p>
      <w:pPr>
        <w:spacing w:after="0" w:line="117" w:lineRule="exact"/>
        <w:rPr>
          <w:sz w:val="20"/>
          <w:szCs w:val="20"/>
          <w:color w:val="auto"/>
        </w:rPr>
      </w:pPr>
    </w:p>
    <w:p>
      <w:pPr>
        <w:jc w:val="both"/>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development efforts are in the early stages. If we are unable to advance our product candidates through clinical development, obtain regulatory approval and ultimately commercialize our product candidates, or experience significant delays in doing so, our business will be materially harmed.</w:t>
      </w:r>
    </w:p>
    <w:p>
      <w:pPr>
        <w:spacing w:after="0" w:line="51" w:lineRule="exact"/>
        <w:rPr>
          <w:sz w:val="20"/>
          <w:szCs w:val="20"/>
          <w:color w:val="auto"/>
        </w:rPr>
      </w:pPr>
    </w:p>
    <w:p>
      <w:pPr>
        <w:ind w:firstLine="576"/>
        <w:spacing w:after="0" w:line="255" w:lineRule="auto"/>
        <w:rPr>
          <w:sz w:val="20"/>
          <w:szCs w:val="20"/>
          <w:color w:val="auto"/>
        </w:rPr>
      </w:pPr>
      <w:r>
        <w:rPr>
          <w:rFonts w:ascii="Times New Roman" w:cs="Times New Roman" w:eastAsia="Times New Roman" w:hAnsi="Times New Roman"/>
          <w:sz w:val="18"/>
          <w:szCs w:val="18"/>
          <w:color w:val="auto"/>
        </w:rPr>
        <w:t>There is no assurance that any clinical trials of our product candidates will be successful or will generate positive clinical data and we may not receive marketing approval from the FDA or other regulatory agencies for any of our product candidates. All our product candidates are in the early stages of our development efforts, and if any of our product candidates encounter safety or efficacy problems, development delays, regulatory issues or other problems, our development plans and forecasted timelines and business could be significantly harmed. While the FDA has not objected to our protocol for PIKTOR in HR+/HER2- breast cancer, there can be no assurance that the FDA will permit any future IND or protocol for our other product candidates or additional indications to go into effect in a timely manner or at all. We would not be permitted to conduct further clinical trials in the United States without future INDs and approved protocols for our other product candidates.</w:t>
      </w:r>
    </w:p>
    <w:p>
      <w:pPr>
        <w:spacing w:after="0" w:line="81" w:lineRule="exact"/>
        <w:rPr>
          <w:sz w:val="20"/>
          <w:szCs w:val="20"/>
          <w:color w:val="auto"/>
        </w:rPr>
      </w:pPr>
    </w:p>
    <w:p>
      <w:pPr>
        <w:jc w:val="both"/>
        <w:ind w:right="60" w:firstLine="576"/>
        <w:spacing w:after="0" w:line="266" w:lineRule="auto"/>
        <w:rPr>
          <w:sz w:val="20"/>
          <w:szCs w:val="20"/>
          <w:color w:val="auto"/>
        </w:rPr>
      </w:pPr>
      <w:r>
        <w:rPr>
          <w:rFonts w:ascii="Times New Roman" w:cs="Times New Roman" w:eastAsia="Times New Roman" w:hAnsi="Times New Roman"/>
          <w:sz w:val="18"/>
          <w:szCs w:val="18"/>
          <w:color w:val="auto"/>
        </w:rPr>
        <w:t>Biopharmaceutical development is a long, expensive and uncertain process, and delay or failure can occur at any stage of any of our clinical trials. Failure to obtain regulatory approval for our product candidates will prevent us from commercializing and marketing our product candidates. The success in the development of our product candidates will depend on many factors, including:</w:t>
      </w:r>
    </w:p>
    <w:p>
      <w:pPr>
        <w:spacing w:after="0" w:line="68" w:lineRule="exact"/>
        <w:rPr>
          <w:sz w:val="20"/>
          <w:szCs w:val="20"/>
          <w:color w:val="auto"/>
        </w:rPr>
      </w:pPr>
    </w:p>
    <w:p>
      <w:pPr>
        <w:ind w:left="800" w:hanging="381"/>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initiating, enrolling, and completing clinical trials;</w:t>
      </w:r>
    </w:p>
    <w:p>
      <w:pPr>
        <w:spacing w:after="0" w:line="117" w:lineRule="exact"/>
        <w:rPr>
          <w:rFonts w:ascii="Times New Roman" w:cs="Times New Roman" w:eastAsia="Times New Roman" w:hAnsi="Times New Roman"/>
          <w:sz w:val="18"/>
          <w:szCs w:val="18"/>
          <w:color w:val="auto"/>
        </w:rPr>
      </w:pPr>
    </w:p>
    <w:p>
      <w:pPr>
        <w:ind w:left="800" w:hanging="381"/>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of INDs for and receipt of allowance to proceed with our clinical trials or other future clinical trials;</w:t>
      </w:r>
    </w:p>
    <w:p>
      <w:pPr>
        <w:spacing w:after="0" w:line="117" w:lineRule="exact"/>
        <w:rPr>
          <w:rFonts w:ascii="Times New Roman" w:cs="Times New Roman" w:eastAsia="Times New Roman" w:hAnsi="Times New Roman"/>
          <w:sz w:val="18"/>
          <w:szCs w:val="18"/>
          <w:color w:val="auto"/>
        </w:rPr>
      </w:pPr>
    </w:p>
    <w:p>
      <w:pPr>
        <w:ind w:left="800" w:hanging="381"/>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preclinical studies;</w:t>
      </w:r>
    </w:p>
    <w:p>
      <w:pPr>
        <w:spacing w:after="0" w:line="117" w:lineRule="exact"/>
        <w:rPr>
          <w:rFonts w:ascii="Times New Roman" w:cs="Times New Roman" w:eastAsia="Times New Roman" w:hAnsi="Times New Roman"/>
          <w:sz w:val="18"/>
          <w:szCs w:val="18"/>
          <w:color w:val="auto"/>
        </w:rPr>
      </w:pPr>
    </w:p>
    <w:p>
      <w:pPr>
        <w:ind w:left="800" w:right="80" w:hanging="381"/>
        <w:spacing w:after="0" w:line="282" w:lineRule="auto"/>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positive results from our preclinical studies and clinical trials that support a demonstration of efficacy, safety, and durability of effect for our product candidates;</w:t>
      </w:r>
    </w:p>
    <w:p>
      <w:pPr>
        <w:spacing w:after="0" w:line="53" w:lineRule="exact"/>
        <w:rPr>
          <w:rFonts w:ascii="Times New Roman" w:cs="Times New Roman" w:eastAsia="Times New Roman" w:hAnsi="Times New Roman"/>
          <w:sz w:val="18"/>
          <w:szCs w:val="18"/>
          <w:color w:val="auto"/>
        </w:rPr>
      </w:pPr>
    </w:p>
    <w:p>
      <w:pPr>
        <w:ind w:left="800" w:hanging="381"/>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approvals for commercialization of our product candidates from applicable regulatory authorities;</w:t>
      </w:r>
    </w:p>
    <w:p>
      <w:pPr>
        <w:spacing w:after="0" w:line="117" w:lineRule="exact"/>
        <w:rPr>
          <w:rFonts w:ascii="Times New Roman" w:cs="Times New Roman" w:eastAsia="Times New Roman" w:hAnsi="Times New Roman"/>
          <w:sz w:val="18"/>
          <w:szCs w:val="18"/>
          <w:color w:val="auto"/>
        </w:rPr>
      </w:pPr>
    </w:p>
    <w:p>
      <w:pPr>
        <w:ind w:left="800" w:right="160" w:hanging="381"/>
        <w:spacing w:after="0" w:line="282" w:lineRule="auto"/>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 and successfully launching commercial sales of our products, if and when approved, whether alone or in collaboration with others;</w:t>
      </w:r>
    </w:p>
    <w:p>
      <w:pPr>
        <w:spacing w:after="0" w:line="53" w:lineRule="exact"/>
        <w:rPr>
          <w:rFonts w:ascii="Times New Roman" w:cs="Times New Roman" w:eastAsia="Times New Roman" w:hAnsi="Times New Roman"/>
          <w:sz w:val="18"/>
          <w:szCs w:val="18"/>
          <w:color w:val="auto"/>
        </w:rPr>
      </w:pPr>
    </w:p>
    <w:p>
      <w:pPr>
        <w:ind w:left="800" w:hanging="381"/>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products, if and when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800" w:hanging="381"/>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our product candidates at an acceptable cost; and</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sectPr>
      </w:pPr>
    </w:p>
    <w:bookmarkStart w:id="37" w:name="page38"/>
    <w:bookmarkEnd w:id="37"/>
    <w:p>
      <w:pPr>
        <w:ind w:left="800" w:right="480" w:hanging="381"/>
        <w:spacing w:after="0" w:line="282" w:lineRule="auto"/>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growing an organization of scientists, medical professionals and business people who can develop and commercialize our product candidates and technology.</w:t>
      </w:r>
    </w:p>
    <w:p>
      <w:pPr>
        <w:spacing w:after="0" w:line="54" w:lineRule="exact"/>
        <w:rPr>
          <w:sz w:val="20"/>
          <w:szCs w:val="20"/>
          <w:color w:val="auto"/>
        </w:rPr>
      </w:pPr>
    </w:p>
    <w:p>
      <w:pPr>
        <w:ind w:right="140" w:firstLine="576"/>
        <w:spacing w:after="0" w:line="258" w:lineRule="auto"/>
        <w:rPr>
          <w:sz w:val="20"/>
          <w:szCs w:val="20"/>
          <w:color w:val="auto"/>
        </w:rPr>
      </w:pPr>
      <w:r>
        <w:rPr>
          <w:rFonts w:ascii="Times New Roman" w:cs="Times New Roman" w:eastAsia="Times New Roman" w:hAnsi="Times New Roman"/>
          <w:sz w:val="18"/>
          <w:szCs w:val="18"/>
          <w:color w:val="auto"/>
        </w:rPr>
        <w:t>Many of these factors are beyond our control, including the time needed to adequately complete clinical testing and the regulatory submission process. It is possible that none of our product candidates will ever obtain regulatory approval, even if we expend substantial time and resources seeking such approval. If we do not achieve one or more of these factors in a timely manner or at all, or any other factors impacting the successful development of biopharmaceutical products, we could experience significant delays or an inability to successfully develop our product candidates, which could materially harm our business.</w:t>
      </w:r>
    </w:p>
    <w:p>
      <w:pPr>
        <w:spacing w:after="0" w:line="7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comparable foreign authorities are lengthy, time-consuming and inherently unpredictable, and if we are ultimately unable to obtain regulatory approval for our product candidates, our business will be substantially harmed.</w:t>
      </w:r>
    </w:p>
    <w:p>
      <w:pPr>
        <w:spacing w:after="0" w:line="51" w:lineRule="exact"/>
        <w:rPr>
          <w:sz w:val="20"/>
          <w:szCs w:val="20"/>
          <w:color w:val="auto"/>
        </w:rPr>
      </w:pPr>
    </w:p>
    <w:p>
      <w:pPr>
        <w:ind w:right="80" w:firstLine="576"/>
        <w:spacing w:after="0" w:line="255" w:lineRule="auto"/>
        <w:rPr>
          <w:sz w:val="20"/>
          <w:szCs w:val="20"/>
          <w:color w:val="auto"/>
        </w:rPr>
      </w:pPr>
      <w:r>
        <w:rPr>
          <w:rFonts w:ascii="Times New Roman" w:cs="Times New Roman" w:eastAsia="Times New Roman" w:hAnsi="Times New Roman"/>
          <w:sz w:val="18"/>
          <w:szCs w:val="18"/>
          <w:color w:val="auto"/>
        </w:rPr>
        <w:t>We do not have any products that have gained regulatory approval. Our business is substantially dependent on our ability to obtain regulatory approval for our preclinical programs. We cannot commercialize product candidates in the United States without first obtaining regulatory approval for the product from the FDA. Before obtaining regulatory approvals for the commercial sale of any product candidate for a particular indication, we must demonstrate with substantial evidence gathered in preclinical and clinical studies that the product candidate is safe and effective for that indication and that the manufacturing facilities, processes and controls are adequate with respect to such product candidate. Prior to seeking approval for any of our product candidates, we will need to confer with the FDA and other regulatory authorities regarding the design of our clinical trials and the type and amount of clinical data necessary to seek and gain approval for our product candidates.</w:t>
      </w:r>
    </w:p>
    <w:p>
      <w:pPr>
        <w:spacing w:after="0" w:line="81" w:lineRule="exact"/>
        <w:rPr>
          <w:sz w:val="20"/>
          <w:szCs w:val="20"/>
          <w:color w:val="auto"/>
        </w:rPr>
      </w:pPr>
    </w:p>
    <w:p>
      <w:pPr>
        <w:ind w:firstLine="576"/>
        <w:spacing w:after="0" w:line="258" w:lineRule="auto"/>
        <w:rPr>
          <w:sz w:val="20"/>
          <w:szCs w:val="20"/>
          <w:color w:val="auto"/>
        </w:rPr>
      </w:pPr>
      <w:r>
        <w:rPr>
          <w:rFonts w:ascii="Times New Roman" w:cs="Times New Roman" w:eastAsia="Times New Roman" w:hAnsi="Times New Roman"/>
          <w:sz w:val="18"/>
          <w:szCs w:val="18"/>
          <w:color w:val="auto"/>
        </w:rPr>
        <w:t>The time required to obtain approval by the FDA and other regulatory authorities is unpredictable and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It is possible that none of our existing product candidates or any future product candidates will ever obtain regulatory approval.</w:t>
      </w:r>
    </w:p>
    <w:p>
      <w:pPr>
        <w:spacing w:after="0" w:line="75" w:lineRule="exact"/>
        <w:rPr>
          <w:sz w:val="20"/>
          <w:szCs w:val="20"/>
          <w:color w:val="auto"/>
        </w:rPr>
      </w:pPr>
    </w:p>
    <w:p>
      <w:pPr>
        <w:ind w:right="560" w:firstLine="576"/>
        <w:spacing w:after="0" w:line="282" w:lineRule="auto"/>
        <w:rPr>
          <w:sz w:val="20"/>
          <w:szCs w:val="20"/>
          <w:color w:val="auto"/>
        </w:rPr>
      </w:pPr>
      <w:r>
        <w:rPr>
          <w:rFonts w:ascii="Times New Roman" w:cs="Times New Roman" w:eastAsia="Times New Roman" w:hAnsi="Times New Roman"/>
          <w:sz w:val="18"/>
          <w:szCs w:val="18"/>
          <w:color w:val="auto"/>
        </w:rPr>
        <w:t>Our product candidates could fail to receive regulatory approval from the FDA or other comparable regulatory authorities for many reasons, including:</w:t>
      </w:r>
    </w:p>
    <w:p>
      <w:pPr>
        <w:spacing w:after="0" w:line="54" w:lineRule="exact"/>
        <w:rPr>
          <w:sz w:val="20"/>
          <w:szCs w:val="20"/>
          <w:color w:val="auto"/>
        </w:rPr>
      </w:pPr>
    </w:p>
    <w:p>
      <w:pPr>
        <w:ind w:left="780" w:hanging="367"/>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with the design, protocol or conduct of our clinical trials;</w:t>
      </w:r>
    </w:p>
    <w:p>
      <w:pPr>
        <w:spacing w:after="0" w:line="117" w:lineRule="exact"/>
        <w:rPr>
          <w:rFonts w:ascii="Times New Roman" w:cs="Times New Roman" w:eastAsia="Times New Roman" w:hAnsi="Times New Roman"/>
          <w:sz w:val="18"/>
          <w:szCs w:val="18"/>
          <w:color w:val="auto"/>
        </w:rPr>
      </w:pPr>
    </w:p>
    <w:p>
      <w:pPr>
        <w:ind w:left="780" w:hanging="367"/>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that a product candidate is safe and effective for its proposed indication;</w:t>
      </w:r>
    </w:p>
    <w:p>
      <w:pPr>
        <w:spacing w:after="0" w:line="117" w:lineRule="exact"/>
        <w:rPr>
          <w:rFonts w:ascii="Times New Roman" w:cs="Times New Roman" w:eastAsia="Times New Roman" w:hAnsi="Times New Roman"/>
          <w:sz w:val="18"/>
          <w:szCs w:val="18"/>
          <w:color w:val="auto"/>
        </w:rPr>
      </w:pPr>
    </w:p>
    <w:p>
      <w:pPr>
        <w:ind w:left="780" w:hanging="367"/>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clinical trials to meet the level of statistical significance required for approval;</w:t>
      </w:r>
    </w:p>
    <w:p>
      <w:pPr>
        <w:spacing w:after="0" w:line="117" w:lineRule="exact"/>
        <w:rPr>
          <w:rFonts w:ascii="Times New Roman" w:cs="Times New Roman" w:eastAsia="Times New Roman" w:hAnsi="Times New Roman"/>
          <w:sz w:val="18"/>
          <w:szCs w:val="18"/>
          <w:color w:val="auto"/>
        </w:rPr>
      </w:pPr>
    </w:p>
    <w:p>
      <w:pPr>
        <w:ind w:left="780" w:hanging="367"/>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that a product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780" w:hanging="367"/>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with our interpretation of data from preclinical studies or clinical trials;</w:t>
      </w:r>
    </w:p>
    <w:p>
      <w:pPr>
        <w:spacing w:after="0" w:line="117" w:lineRule="exact"/>
        <w:rPr>
          <w:rFonts w:ascii="Times New Roman" w:cs="Times New Roman" w:eastAsia="Times New Roman" w:hAnsi="Times New Roman"/>
          <w:sz w:val="18"/>
          <w:szCs w:val="18"/>
          <w:color w:val="auto"/>
        </w:rPr>
      </w:pPr>
    </w:p>
    <w:p>
      <w:pPr>
        <w:ind w:left="780" w:right="80" w:hanging="367"/>
        <w:spacing w:after="0" w:line="282" w:lineRule="auto"/>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insufficiency of data collected from clinical trials of our product candidates to support the submission and filing of an NDA or other submission or to obtain regulatory approval;</w:t>
      </w:r>
    </w:p>
    <w:p>
      <w:pPr>
        <w:spacing w:after="0" w:line="53" w:lineRule="exact"/>
        <w:rPr>
          <w:rFonts w:ascii="Times New Roman" w:cs="Times New Roman" w:eastAsia="Times New Roman" w:hAnsi="Times New Roman"/>
          <w:sz w:val="18"/>
          <w:szCs w:val="18"/>
          <w:color w:val="auto"/>
        </w:rPr>
      </w:pPr>
    </w:p>
    <w:p>
      <w:pPr>
        <w:ind w:left="780" w:hanging="367"/>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approval of the manufacturing processes or our facilities;</w:t>
      </w:r>
    </w:p>
    <w:p>
      <w:pPr>
        <w:spacing w:after="0" w:line="117" w:lineRule="exact"/>
        <w:rPr>
          <w:rFonts w:ascii="Times New Roman" w:cs="Times New Roman" w:eastAsia="Times New Roman" w:hAnsi="Times New Roman"/>
          <w:sz w:val="18"/>
          <w:szCs w:val="18"/>
          <w:color w:val="auto"/>
        </w:rPr>
      </w:pPr>
    </w:p>
    <w:p>
      <w:pPr>
        <w:ind w:left="780" w:hanging="367"/>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approval policies or regulations that render our preclinical and clinical data insufficient for approval; or</w:t>
      </w:r>
    </w:p>
    <w:p>
      <w:pPr>
        <w:spacing w:after="0" w:line="117" w:lineRule="exact"/>
        <w:rPr>
          <w:rFonts w:ascii="Times New Roman" w:cs="Times New Roman" w:eastAsia="Times New Roman" w:hAnsi="Times New Roman"/>
          <w:sz w:val="18"/>
          <w:szCs w:val="18"/>
          <w:color w:val="auto"/>
        </w:rPr>
      </w:pPr>
    </w:p>
    <w:p>
      <w:pPr>
        <w:ind w:left="780" w:hanging="367"/>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complete a clinical trial in a manner that is satisfactory to the applicable regulatory authority.</w:t>
      </w:r>
    </w:p>
    <w:p>
      <w:pPr>
        <w:spacing w:after="0" w:line="117" w:lineRule="exact"/>
        <w:rPr>
          <w:sz w:val="20"/>
          <w:szCs w:val="20"/>
          <w:color w:val="auto"/>
        </w:rPr>
      </w:pPr>
    </w:p>
    <w:p>
      <w:pPr>
        <w:ind w:right="240" w:firstLine="576"/>
        <w:spacing w:after="0" w:line="266" w:lineRule="auto"/>
        <w:rPr>
          <w:sz w:val="20"/>
          <w:szCs w:val="20"/>
          <w:color w:val="auto"/>
        </w:rPr>
      </w:pPr>
      <w:r>
        <w:rPr>
          <w:rFonts w:ascii="Times New Roman" w:cs="Times New Roman" w:eastAsia="Times New Roman" w:hAnsi="Times New Roman"/>
          <w:sz w:val="18"/>
          <w:szCs w:val="18"/>
          <w:color w:val="auto"/>
        </w:rPr>
        <w:t>Many of these risks are beyond our control, including the risks related to clinical development. If we are unable to develop, receive regulatory approval for, or successfully commercialize our product candidates, or if we experience delays as a result of any of these risks or otherwise, our business could be materially harmed.</w:t>
      </w:r>
    </w:p>
    <w:p>
      <w:pPr>
        <w:spacing w:after="0" w:line="68" w:lineRule="exact"/>
        <w:rPr>
          <w:sz w:val="20"/>
          <w:szCs w:val="20"/>
          <w:color w:val="auto"/>
        </w:rPr>
      </w:pPr>
    </w:p>
    <w:p>
      <w:pPr>
        <w:ind w:firstLine="576"/>
        <w:spacing w:after="0" w:line="254" w:lineRule="auto"/>
        <w:rPr>
          <w:sz w:val="20"/>
          <w:szCs w:val="20"/>
          <w:color w:val="auto"/>
        </w:rPr>
      </w:pPr>
      <w:r>
        <w:rPr>
          <w:rFonts w:ascii="Times New Roman" w:cs="Times New Roman" w:eastAsia="Times New Roman" w:hAnsi="Times New Roman"/>
          <w:sz w:val="18"/>
          <w:szCs w:val="18"/>
          <w:color w:val="auto"/>
        </w:rPr>
        <w:t>The FDA or a comparable regulatory authority may require more information, including additional preclinical or clinical data to support approval, including data that would require us to perform additional clinical trials or modify our manufacturing processes, which may delay or prevent approval and our commercialization plans, or we may decide to abandon the development program. If we change our manufacturing processes, we may be required to conduct additional clinical trials or other studies, which also could delay or prevent approval of our product candidates. If we were to obtain approval, regulatory authorities may approve any of our product candidates for fewer indications than we request (including failing to approve the most commercially promising indications), may limit indications, may grant approval contingent on the performance of costly post-marketing clinical trials or other post-marketing commitments, or may approve a product candidate with a label that does not include the labeling claims necessary or desirable for the successful commercialization of that product candidate.</w:t>
      </w:r>
    </w:p>
    <w:p>
      <w:pPr>
        <w:spacing w:after="0" w:line="84" w:lineRule="exact"/>
        <w:rPr>
          <w:sz w:val="20"/>
          <w:szCs w:val="20"/>
          <w:color w:val="auto"/>
        </w:rPr>
      </w:pPr>
    </w:p>
    <w:p>
      <w:pPr>
        <w:ind w:right="280" w:firstLine="576"/>
        <w:spacing w:after="0" w:line="282" w:lineRule="auto"/>
        <w:rPr>
          <w:sz w:val="20"/>
          <w:szCs w:val="20"/>
          <w:color w:val="auto"/>
        </w:rPr>
      </w:pPr>
      <w:r>
        <w:rPr>
          <w:rFonts w:ascii="Times New Roman" w:cs="Times New Roman" w:eastAsia="Times New Roman" w:hAnsi="Times New Roman"/>
          <w:sz w:val="18"/>
          <w:szCs w:val="18"/>
          <w:color w:val="auto"/>
        </w:rPr>
        <w:t>Even if a product candidate were to successfully obtain approval from the FDA or other comparable regulatory authorities in other jurisdictions, any approval might contain significant limitations related to use restrictions for specified age groups, warnings,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8" w:name="page39"/>
    <w:bookmarkEnd w:id="38"/>
    <w:p>
      <w:pPr>
        <w:ind w:right="160"/>
        <w:spacing w:after="0" w:line="261" w:lineRule="auto"/>
        <w:rPr>
          <w:sz w:val="20"/>
          <w:szCs w:val="20"/>
          <w:color w:val="auto"/>
        </w:rPr>
      </w:pPr>
      <w:r>
        <w:rPr>
          <w:rFonts w:ascii="Times New Roman" w:cs="Times New Roman" w:eastAsia="Times New Roman" w:hAnsi="Times New Roman"/>
          <w:sz w:val="18"/>
          <w:szCs w:val="18"/>
          <w:color w:val="auto"/>
        </w:rPr>
        <w:t>precautions or contraindications, or may be subject to burdensome post-approval study or risk management requirements. If we are unable to obtain regulatory approval for one of our product candidates in one or more jurisdictions, or any approval contains significant limitations, we may not be able to obtain sufficient funding to continue the development of that product candidate or generate revenues attributable to that product candidate. Also, any regulatory approval of our current or future product candidates, once obtained, may be withdrawn.</w:t>
      </w:r>
    </w:p>
    <w:p>
      <w:pPr>
        <w:spacing w:after="0" w:line="68"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highly dependent on the success of our product candidates that we advance into the clinic, particularly PIKTOR. All of our product candidates, including PIKTOR, will require significant additional preclinical, clinical and manufacturing development before we may be able to seek regulatory approval for and launch a product commercially and we may not be successful in our efforts.</w:t>
      </w:r>
    </w:p>
    <w:p>
      <w:pPr>
        <w:spacing w:after="0" w:line="67" w:lineRule="exact"/>
        <w:rPr>
          <w:sz w:val="20"/>
          <w:szCs w:val="20"/>
          <w:color w:val="auto"/>
        </w:rPr>
      </w:pPr>
    </w:p>
    <w:p>
      <w:pPr>
        <w:ind w:right="140" w:firstLine="576"/>
        <w:spacing w:after="0" w:line="256" w:lineRule="auto"/>
        <w:rPr>
          <w:sz w:val="20"/>
          <w:szCs w:val="20"/>
          <w:color w:val="auto"/>
        </w:rPr>
      </w:pPr>
      <w:r>
        <w:rPr>
          <w:rFonts w:ascii="Times New Roman" w:cs="Times New Roman" w:eastAsia="Times New Roman" w:hAnsi="Times New Roman"/>
          <w:sz w:val="18"/>
          <w:szCs w:val="18"/>
          <w:color w:val="auto"/>
        </w:rPr>
        <w:t>We currently have no products that are approved for commercial sale and may never be able to develop marketable products. We are devoting substantially all our resources to the development of PIKTOR. Our existing clinical data for PIKTOR is derived from a Phase 1b open-label, uncontrolled study with a limited number of evaluable patients. If PIKTOR encounters safety or efficacy problems, development delays, regulatory issues or other problems, our development plans and forecasted timelines and business could be significantly harmed. Because substantially all of our resources are concentrated on a single product candidate, any failure or significant delay in PIKTOR’s development would have a disproportionate impact on our business, financial condition and prospects, and we do not have other clinical-stage programs that could offset such a setback.</w:t>
      </w:r>
    </w:p>
    <w:p>
      <w:pPr>
        <w:spacing w:after="0" w:line="18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cannot provide you with any assurance that we will be able to successfully advance PIKTOR or any additional product candidates through the development process. Our research programs may initially show promise in identifying potential product candidates, yet fail to yield product candidates for clinical development or commercialization for many reasons, including the following:</w:t>
      </w:r>
    </w:p>
    <w:p>
      <w:pPr>
        <w:spacing w:after="0" w:line="68" w:lineRule="exact"/>
        <w:rPr>
          <w:sz w:val="20"/>
          <w:szCs w:val="20"/>
          <w:color w:val="auto"/>
        </w:rPr>
      </w:pPr>
    </w:p>
    <w:p>
      <w:pPr>
        <w:ind w:left="780" w:hanging="372"/>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not succeed in preclinical or clinical testing;</w:t>
      </w:r>
    </w:p>
    <w:p>
      <w:pPr>
        <w:spacing w:after="0" w:line="117" w:lineRule="exact"/>
        <w:rPr>
          <w:rFonts w:ascii="Times New Roman" w:cs="Times New Roman" w:eastAsia="Times New Roman" w:hAnsi="Times New Roman"/>
          <w:sz w:val="18"/>
          <w:szCs w:val="18"/>
          <w:color w:val="auto"/>
        </w:rPr>
      </w:pPr>
    </w:p>
    <w:p>
      <w:pPr>
        <w:ind w:left="780" w:right="40" w:hanging="372"/>
        <w:spacing w:after="0" w:line="282" w:lineRule="auto"/>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on further study be shown to have harmful side effects, or other characteristics that indicate it is unlikely to be effective or otherwise does not meet applicable regulatory criteria;</w:t>
      </w:r>
    </w:p>
    <w:p>
      <w:pPr>
        <w:spacing w:after="0" w:line="53" w:lineRule="exact"/>
        <w:rPr>
          <w:rFonts w:ascii="Times New Roman" w:cs="Times New Roman" w:eastAsia="Times New Roman" w:hAnsi="Times New Roman"/>
          <w:sz w:val="18"/>
          <w:szCs w:val="18"/>
          <w:color w:val="auto"/>
        </w:rPr>
      </w:pPr>
    </w:p>
    <w:p>
      <w:pPr>
        <w:ind w:left="780" w:hanging="372"/>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alternatives that render our product candidates obsolete or less attractive;</w:t>
      </w:r>
    </w:p>
    <w:p>
      <w:pPr>
        <w:spacing w:after="0" w:line="117" w:lineRule="exact"/>
        <w:rPr>
          <w:rFonts w:ascii="Times New Roman" w:cs="Times New Roman" w:eastAsia="Times New Roman" w:hAnsi="Times New Roman"/>
          <w:sz w:val="18"/>
          <w:szCs w:val="18"/>
          <w:color w:val="auto"/>
        </w:rPr>
      </w:pPr>
    </w:p>
    <w:p>
      <w:pPr>
        <w:ind w:left="780" w:hanging="372"/>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we develop may nevertheless be covered by third parties’ patents or other exclusive rights;</w:t>
      </w:r>
    </w:p>
    <w:p>
      <w:pPr>
        <w:spacing w:after="0" w:line="117" w:lineRule="exact"/>
        <w:rPr>
          <w:rFonts w:ascii="Times New Roman" w:cs="Times New Roman" w:eastAsia="Times New Roman" w:hAnsi="Times New Roman"/>
          <w:sz w:val="18"/>
          <w:szCs w:val="18"/>
          <w:color w:val="auto"/>
        </w:rPr>
      </w:pPr>
    </w:p>
    <w:p>
      <w:pPr>
        <w:ind w:left="780" w:right="100" w:hanging="372"/>
        <w:spacing w:after="0" w:line="282" w:lineRule="auto"/>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a product candidate may change during our development program so that the continued development of that product candidate is no longer reasonable;</w:t>
      </w:r>
    </w:p>
    <w:p>
      <w:pPr>
        <w:spacing w:after="0" w:line="53" w:lineRule="exact"/>
        <w:rPr>
          <w:rFonts w:ascii="Times New Roman" w:cs="Times New Roman" w:eastAsia="Times New Roman" w:hAnsi="Times New Roman"/>
          <w:sz w:val="18"/>
          <w:szCs w:val="18"/>
          <w:color w:val="auto"/>
        </w:rPr>
      </w:pPr>
    </w:p>
    <w:p>
      <w:pPr>
        <w:ind w:left="780" w:hanging="372"/>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capable of being produced in commercial quantities at an acceptable cost, or at all; and</w:t>
      </w:r>
    </w:p>
    <w:p>
      <w:pPr>
        <w:spacing w:after="0" w:line="117" w:lineRule="exact"/>
        <w:rPr>
          <w:rFonts w:ascii="Times New Roman" w:cs="Times New Roman" w:eastAsia="Times New Roman" w:hAnsi="Times New Roman"/>
          <w:sz w:val="18"/>
          <w:szCs w:val="18"/>
          <w:color w:val="auto"/>
        </w:rPr>
      </w:pPr>
    </w:p>
    <w:p>
      <w:pPr>
        <w:ind w:left="780" w:hanging="372"/>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accepted as safe and effective by patients, the medical community or third-party payors, if applicable.</w:t>
      </w:r>
    </w:p>
    <w:p>
      <w:pPr>
        <w:spacing w:after="0" w:line="117" w:lineRule="exact"/>
        <w:rPr>
          <w:sz w:val="20"/>
          <w:szCs w:val="20"/>
          <w:color w:val="auto"/>
        </w:rPr>
      </w:pPr>
    </w:p>
    <w:p>
      <w:pPr>
        <w:ind w:right="100" w:firstLine="576"/>
        <w:spacing w:after="0" w:line="266" w:lineRule="auto"/>
        <w:rPr>
          <w:sz w:val="20"/>
          <w:szCs w:val="20"/>
          <w:color w:val="auto"/>
        </w:rPr>
      </w:pPr>
      <w:r>
        <w:rPr>
          <w:rFonts w:ascii="Times New Roman" w:cs="Times New Roman" w:eastAsia="Times New Roman" w:hAnsi="Times New Roman"/>
          <w:sz w:val="18"/>
          <w:szCs w:val="18"/>
          <w:color w:val="auto"/>
        </w:rPr>
        <w:t>If any of these events occur, we may be forced to abandon our development efforts for a program or programs, or we may not be able to identify, discover, develop, or commercialize additional product candidates, which could have a material adverse effect on our business and could potentially cause us to cease operations.</w:t>
      </w:r>
    </w:p>
    <w:p>
      <w:pPr>
        <w:spacing w:after="0" w:line="68" w:lineRule="exact"/>
        <w:rPr>
          <w:sz w:val="20"/>
          <w:szCs w:val="20"/>
          <w:color w:val="auto"/>
        </w:rPr>
      </w:pPr>
    </w:p>
    <w:p>
      <w:pPr>
        <w:ind w:right="180" w:firstLine="576"/>
        <w:spacing w:after="0" w:line="282" w:lineRule="auto"/>
        <w:rPr>
          <w:sz w:val="20"/>
          <w:szCs w:val="20"/>
          <w:color w:val="auto"/>
        </w:rPr>
      </w:pPr>
      <w:r>
        <w:rPr>
          <w:rFonts w:ascii="Times New Roman" w:cs="Times New Roman" w:eastAsia="Times New Roman" w:hAnsi="Times New Roman"/>
          <w:sz w:val="18"/>
          <w:szCs w:val="18"/>
          <w:color w:val="auto"/>
        </w:rPr>
        <w:t>If we do not successfully develop and commercialize product candidates or collaborate with others to do so, we will not be able to obtain product revenue in future periods, which could significantly harm our financial position and adversely affect the trading price of our common stock.</w:t>
      </w:r>
    </w:p>
    <w:p>
      <w:pPr>
        <w:spacing w:after="0" w:line="50"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While emerging clinical data from third parties has provided evidence supporting the multi-node inhibition concept for the PI3K/AKT/mTOR pathway, there is no guarantee that PIKTOR’s specific approach will produce comparable clinical results, and earlier approvals for third party drugs in this class could limit our commercial opportunity.</w:t>
      </w:r>
    </w:p>
    <w:p>
      <w:pPr>
        <w:spacing w:after="0" w:line="67" w:lineRule="exact"/>
        <w:rPr>
          <w:sz w:val="20"/>
          <w:szCs w:val="20"/>
          <w:color w:val="auto"/>
        </w:rPr>
      </w:pPr>
    </w:p>
    <w:p>
      <w:pPr>
        <w:ind w:right="40" w:firstLine="576"/>
        <w:spacing w:after="0" w:line="258" w:lineRule="auto"/>
        <w:rPr>
          <w:sz w:val="20"/>
          <w:szCs w:val="20"/>
          <w:color w:val="auto"/>
        </w:rPr>
      </w:pPr>
      <w:r>
        <w:rPr>
          <w:rFonts w:ascii="Times New Roman" w:cs="Times New Roman" w:eastAsia="Times New Roman" w:hAnsi="Times New Roman"/>
          <w:sz w:val="18"/>
          <w:szCs w:val="18"/>
          <w:color w:val="auto"/>
        </w:rPr>
        <w:t>Our development strategy for PIKTOR is premised on the hypothesis that simultaneous inhibition of multiple nodes of the PI3K/AKT/mTOR signaling pathway — specifically, concurrent PI3Kα inhibition and mTORC1/2 inhibition — will provide deeper, more durable and more tolerable pathway suppression than currently approved single-node inhibitors. We refer to this approach as multi-node inhibition, or MNI. While recent Phase 3 data for the IV pan-PI3K and mTORC1/2 inhibitor gedatolisib provide clinical evidence supporting the broader MNI concept, there can be no assurance that PIKTOR will produce comparable efficacy or tolerability results in clinical trials.</w:t>
      </w:r>
    </w:p>
    <w:p>
      <w:pPr>
        <w:spacing w:after="0" w:line="75" w:lineRule="exact"/>
        <w:rPr>
          <w:sz w:val="20"/>
          <w:szCs w:val="20"/>
          <w:color w:val="auto"/>
        </w:rPr>
      </w:pPr>
    </w:p>
    <w:p>
      <w:pPr>
        <w:ind w:firstLine="576"/>
        <w:spacing w:after="0" w:line="256" w:lineRule="auto"/>
        <w:rPr>
          <w:sz w:val="20"/>
          <w:szCs w:val="20"/>
          <w:color w:val="auto"/>
        </w:rPr>
      </w:pPr>
      <w:r>
        <w:rPr>
          <w:rFonts w:ascii="Times New Roman" w:cs="Times New Roman" w:eastAsia="Times New Roman" w:hAnsi="Times New Roman"/>
          <w:sz w:val="18"/>
          <w:szCs w:val="18"/>
          <w:color w:val="auto"/>
        </w:rPr>
        <w:t>If gedatolisib receives regulatory approval, it would become the first approved MNI therapy for HR+/HER2- advanced breast cancer and could establish a significant market position before PIKTOR completes clinical development. In that event, PIKTOR would need to demonstrate meaningful differentiation — whether through oral convenience, a favorable tolerability profile, broader patient applicability, or other clinical advantages — in order to compete effectively. There can be no assurance that PIKTOR will be able to demonstrate such differentiation. Furthermore, the PI3K/AKT/mTOR pathway is the subject of intense research, and new modalities or approaches could emerge that are superior to both gedatolisib and PIKTOR, rendering our competitive position obsolete.</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9" w:name="page40"/>
    <w:bookmarkEnd w:id="39"/>
    <w:p>
      <w:pPr>
        <w:ind w:firstLine="576"/>
        <w:spacing w:after="0" w:line="255" w:lineRule="auto"/>
        <w:rPr>
          <w:sz w:val="20"/>
          <w:szCs w:val="20"/>
          <w:color w:val="auto"/>
        </w:rPr>
      </w:pPr>
      <w:r>
        <w:rPr>
          <w:rFonts w:ascii="Times New Roman" w:cs="Times New Roman" w:eastAsia="Times New Roman" w:hAnsi="Times New Roman"/>
          <w:sz w:val="18"/>
          <w:szCs w:val="18"/>
          <w:color w:val="auto"/>
        </w:rPr>
        <w:t>In addition, if gedatolisib or another MNI receives regulatory approval and is incorporated into the standard of care for any of our target indications, regulatory authorities may require that future clinical trials of PIKTOR, including any registrational trials, use the newly approved MNI as part of the comparator arm rather than the current standard of care. Such a change could require us to conduct larger, more expensive, and longer clinical trials than currently planned, raise the efficacy threshold that PIKTOR must demonstrate to achieve regulatory approval, and materially increase our development costs and delay our anticipated development timelines. Even if we are able to demonstrate superiority or non-inferiority to a newly approved MNI, the cost, complexity, and duration of the required trials could substantially exceed our current projections, and we may need to raise additional capital to fund such trials. There can be no assurance that we would be able to obtain such additional capital on acceptable terms, or at all.</w:t>
      </w:r>
    </w:p>
    <w:p>
      <w:pPr>
        <w:spacing w:after="0" w:line="77"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clinical trials of any of our product candidates fail to demonstrate safety and efficacy to the satisfaction of the FDA or other comparable regulatory authorities, or do not otherwise produce favorable results, we may incur additional costs or experience delays in completing, or ultimately be unable to complete, the development and commercialization of our product candidates.</w:t>
      </w:r>
    </w:p>
    <w:p>
      <w:pPr>
        <w:spacing w:after="0" w:line="175"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our product candidates, we must demonstrate through lengthy, complex and expensive preclinical testing and clinical trials that our product candidates are safe, pure and effective for use in each target indication, and failures can occur at any stage of testing. Preclinical studies and clinical trials often fail to demonstrate safety or efficacy of the product candidate studied for the target indication. A failure of one or more clinical trials can occur at any stage of testing. Any side effects or patient deaths could affect the development of our product candidates, even if deemed to not be drug related.</w:t>
      </w:r>
    </w:p>
    <w:p>
      <w:pPr>
        <w:spacing w:after="0" w:line="3" w:lineRule="exact"/>
        <w:rPr>
          <w:sz w:val="20"/>
          <w:szCs w:val="20"/>
          <w:color w:val="auto"/>
        </w:rPr>
      </w:pPr>
    </w:p>
    <w:p>
      <w:pPr>
        <w:ind w:right="140" w:firstLine="576"/>
        <w:spacing w:after="0" w:line="252" w:lineRule="auto"/>
        <w:rPr>
          <w:sz w:val="20"/>
          <w:szCs w:val="20"/>
          <w:color w:val="auto"/>
        </w:rPr>
      </w:pPr>
      <w:r>
        <w:rPr>
          <w:rFonts w:ascii="Times New Roman" w:cs="Times New Roman" w:eastAsia="Times New Roman" w:hAnsi="Times New Roman"/>
          <w:sz w:val="18"/>
          <w:szCs w:val="18"/>
          <w:color w:val="auto"/>
        </w:rPr>
        <w:t>If any such adverse events occur, our clinical trials could be suspended or terminated. If we cannot demonstrate that any adverse events were not caused by the drug, the FDA or foreign regulatory authorities could order us to cease further development of, or deny approval of, our product candidates for any or all targeted indications. Even if we are able to demonstrate that all future serious adverse events are not product-related, such occurrences could affect patient recruitment or the ability of enrolled patients to complete the trial. Moreover, if we elect, or are required, to not initiate, delay, suspend or terminate any future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harm our business, financial condition and prospects significantly.</w:t>
      </w:r>
    </w:p>
    <w:p>
      <w:pPr>
        <w:spacing w:after="0" w:line="80" w:lineRule="exact"/>
        <w:rPr>
          <w:sz w:val="20"/>
          <w:szCs w:val="20"/>
          <w:color w:val="auto"/>
        </w:rPr>
      </w:pPr>
    </w:p>
    <w:p>
      <w:pPr>
        <w:ind w:right="260" w:firstLine="576"/>
        <w:spacing w:after="0" w:line="282" w:lineRule="auto"/>
        <w:rPr>
          <w:sz w:val="20"/>
          <w:szCs w:val="20"/>
          <w:color w:val="auto"/>
        </w:rPr>
      </w:pPr>
      <w:r>
        <w:rPr>
          <w:rFonts w:ascii="Times New Roman" w:cs="Times New Roman" w:eastAsia="Times New Roman" w:hAnsi="Times New Roman"/>
          <w:sz w:val="18"/>
          <w:szCs w:val="18"/>
          <w:color w:val="auto"/>
        </w:rPr>
        <w:t>We may experience numerous unforeseen events prior to, during, or as a result of, clinical trials that could delay or prevent our ability to receive marketing approval or commercialize any of our product candidates, including:</w:t>
      </w:r>
    </w:p>
    <w:p>
      <w:pPr>
        <w:spacing w:after="0" w:line="54" w:lineRule="exact"/>
        <w:rPr>
          <w:sz w:val="20"/>
          <w:szCs w:val="20"/>
          <w:color w:val="auto"/>
        </w:rPr>
      </w:pPr>
    </w:p>
    <w:p>
      <w:pPr>
        <w:ind w:left="780" w:right="360" w:hanging="372"/>
        <w:spacing w:after="0" w:line="282" w:lineRule="auto"/>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comparable regulatory authority may disagree as to the number, design or implementation of our clinical trials, or may not interpret the results from clinical trials as we do;</w:t>
      </w:r>
    </w:p>
    <w:p>
      <w:pPr>
        <w:spacing w:after="0" w:line="53" w:lineRule="exact"/>
        <w:rPr>
          <w:rFonts w:ascii="Times New Roman" w:cs="Times New Roman" w:eastAsia="Times New Roman" w:hAnsi="Times New Roman"/>
          <w:sz w:val="18"/>
          <w:szCs w:val="18"/>
          <w:color w:val="auto"/>
        </w:rPr>
      </w:pPr>
    </w:p>
    <w:p>
      <w:pPr>
        <w:ind w:left="780" w:right="400" w:hanging="372"/>
        <w:spacing w:after="0" w:line="282" w:lineRule="auto"/>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may not authorize us or our investigators to commence a clinical trial or conduct a clinical trial at a prospective trial site;</w:t>
      </w:r>
    </w:p>
    <w:p>
      <w:pPr>
        <w:spacing w:after="0" w:line="53" w:lineRule="exact"/>
        <w:rPr>
          <w:rFonts w:ascii="Times New Roman" w:cs="Times New Roman" w:eastAsia="Times New Roman" w:hAnsi="Times New Roman"/>
          <w:sz w:val="18"/>
          <w:szCs w:val="18"/>
          <w:color w:val="auto"/>
        </w:rPr>
      </w:pPr>
    </w:p>
    <w:p>
      <w:pPr>
        <w:ind w:left="780" w:right="140" w:hanging="372"/>
        <w:spacing w:after="0" w:line="282" w:lineRule="auto"/>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reach agreement on acceptable terms with prospective clinical trial sites, the terms of which can be subject to extensive negotiation and may vary significantly among different clinical trial sites;</w:t>
      </w:r>
    </w:p>
    <w:p>
      <w:pPr>
        <w:spacing w:after="0" w:line="53" w:lineRule="exact"/>
        <w:rPr>
          <w:rFonts w:ascii="Times New Roman" w:cs="Times New Roman" w:eastAsia="Times New Roman" w:hAnsi="Times New Roman"/>
          <w:sz w:val="18"/>
          <w:szCs w:val="18"/>
          <w:color w:val="auto"/>
        </w:rPr>
      </w:pPr>
    </w:p>
    <w:p>
      <w:pPr>
        <w:ind w:left="780" w:hanging="372"/>
        <w:spacing w:after="0"/>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negative or inconclusive results;</w:t>
      </w:r>
    </w:p>
    <w:p>
      <w:pPr>
        <w:spacing w:after="0" w:line="117" w:lineRule="exact"/>
        <w:rPr>
          <w:rFonts w:ascii="Times New Roman" w:cs="Times New Roman" w:eastAsia="Times New Roman" w:hAnsi="Times New Roman"/>
          <w:sz w:val="18"/>
          <w:szCs w:val="18"/>
          <w:color w:val="auto"/>
        </w:rPr>
      </w:pPr>
    </w:p>
    <w:p>
      <w:pPr>
        <w:ind w:left="780" w:right="420" w:hanging="372"/>
        <w:spacing w:after="0" w:line="282" w:lineRule="auto"/>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or regulators may require us, to conduct additional preclinical studies or clinical trials or abandon our product development programs;</w:t>
      </w:r>
    </w:p>
    <w:p>
      <w:pPr>
        <w:spacing w:after="0" w:line="53" w:lineRule="exact"/>
        <w:rPr>
          <w:rFonts w:ascii="Times New Roman" w:cs="Times New Roman" w:eastAsia="Times New Roman" w:hAnsi="Times New Roman"/>
          <w:sz w:val="18"/>
          <w:szCs w:val="18"/>
          <w:color w:val="auto"/>
        </w:rPr>
      </w:pPr>
    </w:p>
    <w:p>
      <w:pPr>
        <w:jc w:val="both"/>
        <w:ind w:left="780" w:right="260" w:hanging="372"/>
        <w:spacing w:after="0" w:line="266" w:lineRule="auto"/>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enrollment in these clinical trials may be slower than we anticipate, participants may drop out of these clinical trials at a higher rate than we anticipate or we may fail to recruit suitable patients to participate in a trial;</w:t>
      </w:r>
    </w:p>
    <w:p>
      <w:pPr>
        <w:spacing w:after="0" w:line="67" w:lineRule="exact"/>
        <w:rPr>
          <w:rFonts w:ascii="Times New Roman" w:cs="Times New Roman" w:eastAsia="Times New Roman" w:hAnsi="Times New Roman"/>
          <w:sz w:val="18"/>
          <w:szCs w:val="18"/>
          <w:color w:val="auto"/>
        </w:rPr>
      </w:pPr>
    </w:p>
    <w:p>
      <w:pPr>
        <w:ind w:left="780" w:right="160" w:hanging="372"/>
        <w:spacing w:after="0" w:line="282" w:lineRule="auto"/>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w:t>
      </w:r>
    </w:p>
    <w:p>
      <w:pPr>
        <w:spacing w:after="0" w:line="53" w:lineRule="exact"/>
        <w:rPr>
          <w:rFonts w:ascii="Times New Roman" w:cs="Times New Roman" w:eastAsia="Times New Roman" w:hAnsi="Times New Roman"/>
          <w:sz w:val="18"/>
          <w:szCs w:val="18"/>
          <w:color w:val="auto"/>
        </w:rPr>
      </w:pPr>
    </w:p>
    <w:p>
      <w:pPr>
        <w:ind w:left="780" w:right="120" w:hanging="372"/>
        <w:spacing w:after="0" w:line="266" w:lineRule="auto"/>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issue a clinical hold, or regulators or institutional review boards may require that we or our investigators suspend or terminate clinical research for various reasons, including noncompliance with regulatory requirements or a finding that the participants are being exposed to unacceptable health risks;</w:t>
      </w:r>
    </w:p>
    <w:p>
      <w:pPr>
        <w:spacing w:after="0" w:line="67" w:lineRule="exact"/>
        <w:rPr>
          <w:rFonts w:ascii="Times New Roman" w:cs="Times New Roman" w:eastAsia="Times New Roman" w:hAnsi="Times New Roman"/>
          <w:sz w:val="18"/>
          <w:szCs w:val="18"/>
          <w:color w:val="auto"/>
        </w:rPr>
      </w:pPr>
    </w:p>
    <w:p>
      <w:pPr>
        <w:ind w:left="780" w:hanging="372"/>
        <w:spacing w:after="0"/>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w:t>
      </w:r>
    </w:p>
    <w:p>
      <w:pPr>
        <w:spacing w:after="0" w:line="117" w:lineRule="exact"/>
        <w:rPr>
          <w:rFonts w:ascii="Times New Roman" w:cs="Times New Roman" w:eastAsia="Times New Roman" w:hAnsi="Times New Roman"/>
          <w:sz w:val="18"/>
          <w:szCs w:val="18"/>
          <w:color w:val="auto"/>
        </w:rPr>
      </w:pPr>
    </w:p>
    <w:p>
      <w:pPr>
        <w:ind w:left="780" w:hanging="372"/>
        <w:spacing w:after="0"/>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comparable regulatory authorities may fail to approve our manufacturing processes or facilities;</w:t>
      </w:r>
    </w:p>
    <w:p>
      <w:pPr>
        <w:spacing w:after="0" w:line="117" w:lineRule="exact"/>
        <w:rPr>
          <w:rFonts w:ascii="Times New Roman" w:cs="Times New Roman" w:eastAsia="Times New Roman" w:hAnsi="Times New Roman"/>
          <w:sz w:val="18"/>
          <w:szCs w:val="18"/>
          <w:color w:val="auto"/>
        </w:rPr>
      </w:pPr>
    </w:p>
    <w:p>
      <w:pPr>
        <w:ind w:left="780" w:right="800" w:hanging="372"/>
        <w:spacing w:after="0" w:line="282" w:lineRule="auto"/>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w:t>
      </w:r>
    </w:p>
    <w:p>
      <w:pPr>
        <w:spacing w:after="0" w:line="53" w:lineRule="exact"/>
        <w:rPr>
          <w:rFonts w:ascii="Times New Roman" w:cs="Times New Roman" w:eastAsia="Times New Roman" w:hAnsi="Times New Roman"/>
          <w:sz w:val="18"/>
          <w:szCs w:val="18"/>
          <w:color w:val="auto"/>
        </w:rPr>
      </w:pPr>
    </w:p>
    <w:p>
      <w:pPr>
        <w:ind w:left="780" w:right="500" w:hanging="372"/>
        <w:spacing w:after="0" w:line="282" w:lineRule="auto"/>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have undesirable side effects or other unexpected characteristics, causing us or our investigators, regulators or institutional review boards to suspend or terminate the clinical trials; and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0" w:name="page41"/>
    <w:bookmarkEnd w:id="40"/>
    <w:p>
      <w:pPr>
        <w:ind w:left="780" w:right="180" w:hanging="372"/>
        <w:spacing w:after="0" w:line="282" w:lineRule="auto"/>
        <w:tabs>
          <w:tab w:leader="none" w:pos="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other comparable regulatory authorities may significantly change in a manner rendering our clinical data insufficient for approval.</w:t>
      </w:r>
    </w:p>
    <w:p>
      <w:pPr>
        <w:spacing w:after="0" w:line="270" w:lineRule="exact"/>
        <w:rPr>
          <w:sz w:val="20"/>
          <w:szCs w:val="20"/>
          <w:color w:val="auto"/>
        </w:rPr>
      </w:pPr>
    </w:p>
    <w:p>
      <w:pPr>
        <w:ind w:right="80" w:firstLine="576"/>
        <w:spacing w:after="0" w:line="289" w:lineRule="auto"/>
        <w:rPr>
          <w:sz w:val="20"/>
          <w:szCs w:val="20"/>
          <w:color w:val="auto"/>
        </w:rPr>
      </w:pPr>
      <w:r>
        <w:rPr>
          <w:rFonts w:ascii="Times New Roman" w:cs="Times New Roman" w:eastAsia="Times New Roman" w:hAnsi="Times New Roman"/>
          <w:sz w:val="17"/>
          <w:szCs w:val="17"/>
          <w:color w:val="auto"/>
        </w:rPr>
        <w:t>To the extent that the results of the trials are not satisfactory for the FDA or regulatory authorities in other countries or jurisdictions to approve our NDAs or other comparable applications, the commercialization of our product candidates may be significantly delayed, or we may be required to expend significant additional resources, which may not be available to us, to conduct additional trials in support of potential approval of our product candidates.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trials are difficult to design and implement, can be lengthy and expensive, involve uncertain outcomes and may not ultimately be successful.</w:t>
      </w:r>
    </w:p>
    <w:p>
      <w:pPr>
        <w:spacing w:after="0" w:line="121"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It is impossible to predict when or if any of our current or future product candidates will prove effective and safe in humans or will receive regulatory approval. Before obtaining marketing approval from regulatory authorities for the sale of any product candidate, we must complete preclinical studies and then conduct extensive clinical trials to demonstrate the safety and efficacy of our product candidates in humans. Human clinical trials are expensive, can take many years to complete, and are difficult to design and implement, in part because they are subject to rigorous regulatory requirements. The design of a clinical trial can determine whether its results will support approval of a product and flaws in the design of a clinical trial may not become apparent until the clinical trial is well advanced. As an organization, we have limited experience designing clinical trials and may be unable to design and execute a clinical trial to support regulatory approval. There is a high failure rate for oncology product candidates proceeding through clinical trials. 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In addition, we may experience regulatory delays or rejections as a result of many factors, including changes in regulatory policy during the period of our product candidate development. Any such delays could negatively impact our business, financial condition, results of operations and prospects.</w:t>
      </w:r>
    </w:p>
    <w:p>
      <w:pPr>
        <w:spacing w:after="0" w:line="82" w:lineRule="exact"/>
        <w:rPr>
          <w:sz w:val="20"/>
          <w:szCs w:val="20"/>
          <w:color w:val="auto"/>
        </w:rPr>
      </w:pPr>
    </w:p>
    <w:p>
      <w:pPr>
        <w:ind w:right="100" w:firstLine="576"/>
        <w:spacing w:after="0" w:line="255" w:lineRule="auto"/>
        <w:rPr>
          <w:sz w:val="20"/>
          <w:szCs w:val="20"/>
          <w:color w:val="auto"/>
        </w:rPr>
      </w:pPr>
      <w:r>
        <w:rPr>
          <w:rFonts w:ascii="Times New Roman" w:cs="Times New Roman" w:eastAsia="Times New Roman" w:hAnsi="Times New Roman"/>
          <w:sz w:val="18"/>
          <w:szCs w:val="18"/>
          <w:color w:val="auto"/>
        </w:rPr>
        <w:t>In addition, our ongoing Phase 2 trial in advanced endometrial cancer, Study FTH-PIK-201, includes an optional sub-study in which enrolled patients may combine an insulin-suppressing diet with their PIKTOR plus paclitaxel treatment regimen. Because participation in the diet sub-study is optional, patients who elect to participate may differ in meaningful ways from those who do not, and the resulting patient subgroups may not be balanced with respect to baseline characteristics or other factors that could influence clinical outcomes. If a significant proportion of patients participate in the diet sub-study, or if the diet has any effect — whether positive or negative — on efficacy or tolerability endpoints, it may be difficult to attribute observed clinical outcomes solely to PIKTOR. This could complicate our ability to interpret the trial’s results, could raise questions from regulatory authorities, and could reduce the evidentiary value of the trial for purposes of supporting future regulatory submissions or clinical development decisions.</w:t>
      </w:r>
    </w:p>
    <w:p>
      <w:pPr>
        <w:spacing w:after="0" w:line="7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Negative outcomes or data integrity failures by competitors in the oncology space could adversely affect our business, reputation, and the regulatory and commercial environment in which we operate.</w:t>
      </w:r>
    </w:p>
    <w:p>
      <w:pPr>
        <w:spacing w:after="0" w:line="51" w:lineRule="exact"/>
        <w:rPr>
          <w:sz w:val="20"/>
          <w:szCs w:val="20"/>
          <w:color w:val="auto"/>
        </w:rPr>
      </w:pPr>
    </w:p>
    <w:p>
      <w:pPr>
        <w:ind w:firstLine="576"/>
        <w:spacing w:after="0" w:line="255" w:lineRule="auto"/>
        <w:rPr>
          <w:sz w:val="20"/>
          <w:szCs w:val="20"/>
          <w:color w:val="auto"/>
        </w:rPr>
      </w:pPr>
      <w:r>
        <w:rPr>
          <w:rFonts w:ascii="Times New Roman" w:cs="Times New Roman" w:eastAsia="Times New Roman" w:hAnsi="Times New Roman"/>
          <w:sz w:val="18"/>
          <w:szCs w:val="18"/>
          <w:color w:val="auto"/>
        </w:rPr>
        <w:t>The clinical and commercial success of PIKTOR may be influenced not only by our own data and results, but also by the outcomes and perceived integrity of data generated by competitors operating in the same therapeutic area, including other multi-node inhibitors. If a competitor’s product or product candidate is withdrawn from the market, subject to a safety recall, or associated with serious adverse events, whether in clinical trials or following regulatory approval, patients, physicians, payers, and the broader medical community may develop a generalized skepticism or loss of confidence in the underlying treatment modality or target mechanism. This loss of confidence could reduce patient enrollment in our clinical trials, dampen physician adoption of our products, or cause payers to impose more restrictive coverage and reimbursement policies, regardless of whether our products share the specific deficiencies identified in the competitor’s product.</w:t>
      </w:r>
    </w:p>
    <w:p>
      <w:pPr>
        <w:spacing w:after="0" w:line="81" w:lineRule="exact"/>
        <w:rPr>
          <w:sz w:val="20"/>
          <w:szCs w:val="20"/>
          <w:color w:val="auto"/>
        </w:rPr>
      </w:pPr>
    </w:p>
    <w:p>
      <w:pPr>
        <w:ind w:right="200" w:firstLine="576"/>
        <w:spacing w:after="0" w:line="266" w:lineRule="auto"/>
        <w:rPr>
          <w:sz w:val="20"/>
          <w:szCs w:val="20"/>
          <w:color w:val="auto"/>
        </w:rPr>
      </w:pPr>
      <w:r>
        <w:rPr>
          <w:rFonts w:ascii="Times New Roman" w:cs="Times New Roman" w:eastAsia="Times New Roman" w:hAnsi="Times New Roman"/>
          <w:sz w:val="18"/>
          <w:szCs w:val="18"/>
          <w:color w:val="auto"/>
        </w:rPr>
        <w:t>We have no control over the research, development, manufacturing, or commercial practices of our competitors in the oncology space, and we cannot predict whether their data or products will meet the standards expected by regulators, the medical community, or the public. Any of the foregoing events could have a material adverse effect on our business, financial condition, results of operations, and prospects.</w:t>
      </w:r>
    </w:p>
    <w:p>
      <w:pPr>
        <w:spacing w:after="0" w:line="6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have a greater likelihood of success.</w:t>
      </w:r>
    </w:p>
    <w:p>
      <w:pPr>
        <w:spacing w:after="0" w:line="51" w:lineRule="exact"/>
        <w:rPr>
          <w:sz w:val="20"/>
          <w:szCs w:val="20"/>
          <w:color w:val="auto"/>
        </w:rPr>
      </w:pPr>
    </w:p>
    <w:p>
      <w:pPr>
        <w:ind w:right="60" w:firstLine="576"/>
        <w:spacing w:after="0" w:line="255" w:lineRule="auto"/>
        <w:rPr>
          <w:sz w:val="20"/>
          <w:szCs w:val="20"/>
          <w:color w:val="auto"/>
        </w:rPr>
      </w:pPr>
      <w:r>
        <w:rPr>
          <w:rFonts w:ascii="Times New Roman" w:cs="Times New Roman" w:eastAsia="Times New Roman" w:hAnsi="Times New Roman"/>
          <w:sz w:val="18"/>
          <w:szCs w:val="18"/>
          <w:color w:val="auto"/>
        </w:rPr>
        <w:t>Because we have limited financial and management resources, we focus on research programs and product candidates that we identify for specific indications. As a result, we may forego or delay pursuit of opportunities with other product candidates or for other indications that later prove to have greater commercial potential. For example, we are currently focusing the majority of our efforts on the development of PIKTOR. Our resource allocation decisions may cause us to fail to capitalize on viable commercial products or profitable market opportunities.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1" w:name="page42"/>
    <w:bookmarkEnd w:id="41"/>
    <w:p>
      <w:pPr>
        <w:ind w:right="200"/>
        <w:spacing w:after="0" w:line="282" w:lineRule="auto"/>
        <w:rPr>
          <w:sz w:val="20"/>
          <w:szCs w:val="20"/>
          <w:color w:val="auto"/>
        </w:rPr>
      </w:pPr>
      <w:r>
        <w:rPr>
          <w:rFonts w:ascii="Times New Roman" w:cs="Times New Roman" w:eastAsia="Times New Roman" w:hAnsi="Times New Roman"/>
          <w:sz w:val="18"/>
          <w:szCs w:val="18"/>
          <w:color w:val="auto"/>
        </w:rPr>
        <w:t>product candidate. Our spending on current and future research and development programs and product candidates for specific indications may not yield any commercially viable products.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Success in preclinical studies or clinical trials may not be predictive of results in future clinical trials.</w:t>
      </w:r>
    </w:p>
    <w:p>
      <w:pPr>
        <w:spacing w:after="0" w:line="121" w:lineRule="exact"/>
        <w:rPr>
          <w:sz w:val="20"/>
          <w:szCs w:val="20"/>
          <w:color w:val="auto"/>
        </w:rPr>
      </w:pPr>
    </w:p>
    <w:p>
      <w:pPr>
        <w:ind w:firstLine="576"/>
        <w:spacing w:after="0" w:line="256" w:lineRule="auto"/>
        <w:rPr>
          <w:sz w:val="20"/>
          <w:szCs w:val="20"/>
          <w:color w:val="auto"/>
        </w:rPr>
      </w:pPr>
      <w:r>
        <w:rPr>
          <w:rFonts w:ascii="Times New Roman" w:cs="Times New Roman" w:eastAsia="Times New Roman" w:hAnsi="Times New Roman"/>
          <w:sz w:val="18"/>
          <w:szCs w:val="18"/>
          <w:color w:val="auto"/>
        </w:rPr>
        <w:t>Results from preclinical studies and early clinical trials may not be predictive of the success of later clinical trials, and interim results of clinical trials are not necessarily predictive of final results. We do not know whether our candidates will be effective for the intended indications or safe in humans. Our product candidates may fail to show the desired safety and efficacy in preclinical or clinical development despite positive results observed in early preclinical studies or having successfully advanced through initial clinical trials. Any failure to establish sufficient efficacy and safety could cause us to abandon clinical development of our product candidates. Further, our clinical trials to date have involved small patient populations. Because of the small sample sizes, the results of these trials may not be indicative of results of future clinical trials.</w:t>
      </w:r>
    </w:p>
    <w:p>
      <w:pPr>
        <w:spacing w:after="0" w:line="75"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were not involved in the early development of PIKTOR; therefore, we are dependent on third parties having accurately generated, collected, interpreted and reported data from certain preclinical and clinical trials of PIKTOR.</w:t>
      </w:r>
    </w:p>
    <w:p>
      <w:pPr>
        <w:spacing w:after="0" w:line="51" w:lineRule="exact"/>
        <w:rPr>
          <w:sz w:val="20"/>
          <w:szCs w:val="20"/>
          <w:color w:val="auto"/>
        </w:rPr>
      </w:pPr>
    </w:p>
    <w:p>
      <w:pPr>
        <w:ind w:right="40" w:firstLine="621"/>
        <w:spacing w:after="0" w:line="258" w:lineRule="auto"/>
        <w:rPr>
          <w:sz w:val="20"/>
          <w:szCs w:val="20"/>
          <w:color w:val="auto"/>
        </w:rPr>
      </w:pPr>
      <w:r>
        <w:rPr>
          <w:rFonts w:ascii="Times New Roman" w:cs="Times New Roman" w:eastAsia="Times New Roman" w:hAnsi="Times New Roman"/>
          <w:sz w:val="18"/>
          <w:szCs w:val="18"/>
          <w:color w:val="auto"/>
        </w:rPr>
        <w:t>We had no involvement with or control over the initial preclinical and clinical development of PIKTOR. We are dependent on third parties having conducted their research and development in accordance with the applicable protocols and legal, regulatory and scientific standards; having accurately reported the results of all preclinical studies and clinical trials conducted with respect to such drug product; and having correctly collected and interpreted the data from these trials. If these activities were not compliant, accurate or correct, the clinical development, regulatory approval or commercialization of PIKTOR will be delayed and may be adversely affected.</w:t>
      </w:r>
    </w:p>
    <w:p>
      <w:pPr>
        <w:spacing w:after="0" w:line="7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patients are enrolled and additional data become available, and are subject to audit and verification procedures that could result in material changes in the final data.</w:t>
      </w:r>
    </w:p>
    <w:p>
      <w:pPr>
        <w:spacing w:after="0" w:line="51" w:lineRule="exact"/>
        <w:rPr>
          <w:sz w:val="20"/>
          <w:szCs w:val="20"/>
          <w:color w:val="auto"/>
        </w:rPr>
      </w:pPr>
    </w:p>
    <w:p>
      <w:pPr>
        <w:ind w:right="20" w:firstLine="576"/>
        <w:spacing w:after="0" w:line="253" w:lineRule="auto"/>
        <w:rPr>
          <w:sz w:val="20"/>
          <w:szCs w:val="20"/>
          <w:color w:val="auto"/>
        </w:rPr>
      </w:pPr>
      <w:r>
        <w:rPr>
          <w:rFonts w:ascii="Times New Roman" w:cs="Times New Roman" w:eastAsia="Times New Roman" w:hAnsi="Times New Roman"/>
          <w:sz w:val="18"/>
          <w:szCs w:val="18"/>
          <w:color w:val="auto"/>
        </w:rPr>
        <w:t>We expect to publish from time to time interim topline or preliminary data from our clinical trials. Interim data from clinical trials that we may complete are subject to the risk that one or more of the clinical outcomes may materially change as patient enrollment continues and more patient data become available.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From time to time, we may also disclose interim data from our clinical trials. Interim data from clinical trials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reputation and business prospects. Further, disclosure of interim data by us or by our competitors could result in volatility in the price of our common stock.</w:t>
      </w:r>
    </w:p>
    <w:p>
      <w:pPr>
        <w:spacing w:after="0" w:line="84" w:lineRule="exact"/>
        <w:rPr>
          <w:sz w:val="20"/>
          <w:szCs w:val="20"/>
          <w:color w:val="auto"/>
        </w:rPr>
      </w:pPr>
    </w:p>
    <w:p>
      <w:pPr>
        <w:ind w:right="60" w:firstLine="576"/>
        <w:spacing w:after="0" w:line="258"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potential of the particular program, the likelihood of marketing approval or commercialization of the particular product candidate, any approved product, and our company in general. In addition, the information we choose to publicly disclose regarding a particular study or clinical trial is derived from information that is typically extensive, and you or others may not agree with what we determine is material or otherwise appropriate information to include in our disclosure.</w:t>
      </w:r>
    </w:p>
    <w:p>
      <w:pPr>
        <w:spacing w:after="0" w:line="75" w:lineRule="exact"/>
        <w:rPr>
          <w:sz w:val="20"/>
          <w:szCs w:val="20"/>
          <w:color w:val="auto"/>
        </w:rPr>
      </w:pPr>
    </w:p>
    <w:p>
      <w:pPr>
        <w:ind w:right="180" w:firstLine="576"/>
        <w:spacing w:after="0" w:line="266" w:lineRule="auto"/>
        <w:rPr>
          <w:sz w:val="20"/>
          <w:szCs w:val="20"/>
          <w:color w:val="auto"/>
        </w:rPr>
      </w:pPr>
      <w:r>
        <w:rPr>
          <w:rFonts w:ascii="Times New Roman" w:cs="Times New Roman" w:eastAsia="Times New Roman" w:hAnsi="Times New Roman"/>
          <w:sz w:val="18"/>
          <w:szCs w:val="18"/>
          <w:color w:val="auto"/>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6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cross-trial comparisons we present regarding PIKTOR’s safety and efficacy profile relative to other PI3K/AKT/mTOR pathway agents are subject to significant limitations and may not be predictive of PIKTOR’s relative performance in future controlled studies.</w:t>
      </w:r>
    </w:p>
    <w:p>
      <w:pPr>
        <w:spacing w:after="0" w:line="51" w:lineRule="exact"/>
        <w:rPr>
          <w:sz w:val="20"/>
          <w:szCs w:val="20"/>
          <w:color w:val="auto"/>
        </w:rPr>
      </w:pPr>
    </w:p>
    <w:p>
      <w:pPr>
        <w:ind w:right="40" w:firstLine="576"/>
        <w:spacing w:after="0" w:line="256" w:lineRule="auto"/>
        <w:rPr>
          <w:sz w:val="20"/>
          <w:szCs w:val="20"/>
          <w:color w:val="auto"/>
        </w:rPr>
      </w:pPr>
      <w:r>
        <w:rPr>
          <w:rFonts w:ascii="Times New Roman" w:cs="Times New Roman" w:eastAsia="Times New Roman" w:hAnsi="Times New Roman"/>
          <w:sz w:val="18"/>
          <w:szCs w:val="18"/>
          <w:color w:val="auto"/>
        </w:rPr>
        <w:t>In this Report and in our other public communications, we present data comparing PIKTOR’s emerging clinical profile, including rates of hyperglycemia and stomatitis, pharmacokinetic and pharmacodynamic characteristics, and preclinical potency, to published data from clinical trials of approved single-node inhibitors and other multi-node inhibitors in development. These comparisons are derived from different clinical trials conducted at different times, with differences in trial design, patient populations, disease settings, dosing regimens, endpoints, sample sizes, follow-up periods, and adverse event grading criteria. No head-to-head clinical trials have been conducted comparing PIKTOR to any of the agents referenced in these comparisons, and cross-trial comparisons are inherently limited and may not accurately reflect the relative safety or efficacy of the agents being compared.</w:t>
      </w: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42" w:name="page43"/>
    <w:bookmarkEnd w:id="42"/>
    <w:p>
      <w:pPr>
        <w:ind w:right="280" w:firstLine="576"/>
        <w:spacing w:after="0" w:line="261" w:lineRule="auto"/>
        <w:rPr>
          <w:sz w:val="20"/>
          <w:szCs w:val="20"/>
          <w:color w:val="auto"/>
        </w:rPr>
      </w:pPr>
      <w:r>
        <w:rPr>
          <w:rFonts w:ascii="Times New Roman" w:cs="Times New Roman" w:eastAsia="Times New Roman" w:hAnsi="Times New Roman"/>
          <w:sz w:val="18"/>
          <w:szCs w:val="18"/>
          <w:color w:val="auto"/>
        </w:rPr>
        <w:t>Physicians, patients, investors, and regulatory authorities may draw conclusions from these cross-trial comparisons that are not supported by the underlying data, or may discount PIKTOR’s potential based on the inherent limitations of such comparisons. If PIKTOR’s clinical profile does not compare as favorably to competing agents in head-to-head or registrational trials as our cross-trial analyses suggest, the commercial prospects and perceived differentiation of PIKTOR could be materially diminished.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timely enrollment of patients in our clinical trials for our product candidates. If we encounter difficulties enrolling patients in our clinical trials, our clinical development activities could be delayed or otherwise adversely affected.</w:t>
      </w:r>
    </w:p>
    <w:p>
      <w:pPr>
        <w:spacing w:after="0" w:line="51" w:lineRule="exact"/>
        <w:rPr>
          <w:sz w:val="20"/>
          <w:szCs w:val="20"/>
          <w:color w:val="auto"/>
        </w:rPr>
      </w:pPr>
    </w:p>
    <w:p>
      <w:pPr>
        <w:ind w:right="20" w:firstLine="576"/>
        <w:spacing w:after="0" w:line="261" w:lineRule="auto"/>
        <w:rPr>
          <w:sz w:val="20"/>
          <w:szCs w:val="20"/>
          <w:color w:val="auto"/>
        </w:rPr>
      </w:pPr>
      <w:r>
        <w:rPr>
          <w:rFonts w:ascii="Times New Roman" w:cs="Times New Roman" w:eastAsia="Times New Roman" w:hAnsi="Times New Roman"/>
          <w:sz w:val="18"/>
          <w:szCs w:val="18"/>
          <w:color w:val="auto"/>
        </w:rPr>
        <w:t>Identifying and qualifying patients to participate in clinical trials of our product candidates is critical to our success. We may experience difficulties in patient enrollment in our clinical trials for a variety of reasons. The timely completion of clinical trials in accordance with their protocols depends, among other things, on our ability to enroll a sufficient number of patients who remain in the study until its conclusion. The enrollment of patients depends on many factors, including:</w:t>
      </w:r>
    </w:p>
    <w:p>
      <w:pPr>
        <w:spacing w:after="0" w:line="72" w:lineRule="exact"/>
        <w:rPr>
          <w:sz w:val="20"/>
          <w:szCs w:val="20"/>
          <w:color w:val="auto"/>
        </w:rPr>
      </w:pPr>
    </w:p>
    <w:p>
      <w:pPr>
        <w:ind w:left="780" w:hanging="377"/>
        <w:spacing w:after="0"/>
        <w:tabs>
          <w:tab w:leader="none" w:pos="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criteria defined in the protocol;</w:t>
      </w:r>
    </w:p>
    <w:p>
      <w:pPr>
        <w:spacing w:after="0" w:line="117" w:lineRule="exact"/>
        <w:rPr>
          <w:rFonts w:ascii="Times New Roman" w:cs="Times New Roman" w:eastAsia="Times New Roman" w:hAnsi="Times New Roman"/>
          <w:sz w:val="18"/>
          <w:szCs w:val="18"/>
          <w:color w:val="auto"/>
        </w:rPr>
      </w:pPr>
    </w:p>
    <w:p>
      <w:pPr>
        <w:ind w:left="780" w:hanging="377"/>
        <w:spacing w:after="0"/>
        <w:tabs>
          <w:tab w:leader="none" w:pos="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with the disease or condition being studied;</w:t>
      </w:r>
    </w:p>
    <w:p>
      <w:pPr>
        <w:spacing w:after="0" w:line="117" w:lineRule="exact"/>
        <w:rPr>
          <w:rFonts w:ascii="Times New Roman" w:cs="Times New Roman" w:eastAsia="Times New Roman" w:hAnsi="Times New Roman"/>
          <w:sz w:val="18"/>
          <w:szCs w:val="18"/>
          <w:color w:val="auto"/>
        </w:rPr>
      </w:pPr>
    </w:p>
    <w:p>
      <w:pPr>
        <w:ind w:left="780" w:right="60" w:hanging="377"/>
        <w:spacing w:after="0" w:line="282" w:lineRule="auto"/>
        <w:tabs>
          <w:tab w:leader="none" w:pos="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in the trial, including with respect to PIKTOR, perceived risks related to results of prior trials of serabelisib and sapanisertib alone or in combination;</w:t>
      </w:r>
    </w:p>
    <w:p>
      <w:pPr>
        <w:spacing w:after="0" w:line="53" w:lineRule="exact"/>
        <w:rPr>
          <w:rFonts w:ascii="Times New Roman" w:cs="Times New Roman" w:eastAsia="Times New Roman" w:hAnsi="Times New Roman"/>
          <w:sz w:val="18"/>
          <w:szCs w:val="18"/>
          <w:color w:val="auto"/>
        </w:rPr>
      </w:pPr>
    </w:p>
    <w:p>
      <w:pPr>
        <w:jc w:val="both"/>
        <w:ind w:left="780" w:right="100" w:hanging="377"/>
        <w:spacing w:after="0" w:line="312" w:lineRule="auto"/>
        <w:tabs>
          <w:tab w:leader="none" w:pos="78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clinicians’ and patients’ perceptions as to the potential advantages of the product candidate being studied in relation to other available therapies, including any new drugs that may be approved for the indications we are investigating or drugs that may be used off-label for these indications;</w:t>
      </w:r>
    </w:p>
    <w:p>
      <w:pPr>
        <w:spacing w:after="0" w:line="31" w:lineRule="exact"/>
        <w:rPr>
          <w:rFonts w:ascii="Times New Roman" w:cs="Times New Roman" w:eastAsia="Times New Roman" w:hAnsi="Times New Roman"/>
          <w:sz w:val="17"/>
          <w:szCs w:val="17"/>
          <w:color w:val="auto"/>
        </w:rPr>
      </w:pPr>
    </w:p>
    <w:p>
      <w:pPr>
        <w:ind w:left="780" w:hanging="377"/>
        <w:spacing w:after="0"/>
        <w:tabs>
          <w:tab w:leader="none" w:pos="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any risks associated with our competitors’ product candidates;</w:t>
      </w:r>
    </w:p>
    <w:p>
      <w:pPr>
        <w:spacing w:after="0" w:line="117" w:lineRule="exact"/>
        <w:rPr>
          <w:rFonts w:ascii="Times New Roman" w:cs="Times New Roman" w:eastAsia="Times New Roman" w:hAnsi="Times New Roman"/>
          <w:sz w:val="18"/>
          <w:szCs w:val="18"/>
          <w:color w:val="auto"/>
        </w:rPr>
      </w:pPr>
    </w:p>
    <w:p>
      <w:pPr>
        <w:ind w:left="780" w:hanging="377"/>
        <w:spacing w:after="0"/>
        <w:tabs>
          <w:tab w:leader="none" w:pos="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 required for analysis of the trial’s primary endpoints;</w:t>
      </w:r>
    </w:p>
    <w:p>
      <w:pPr>
        <w:spacing w:after="0" w:line="117" w:lineRule="exact"/>
        <w:rPr>
          <w:rFonts w:ascii="Times New Roman" w:cs="Times New Roman" w:eastAsia="Times New Roman" w:hAnsi="Times New Roman"/>
          <w:sz w:val="18"/>
          <w:szCs w:val="18"/>
          <w:color w:val="auto"/>
        </w:rPr>
      </w:pPr>
    </w:p>
    <w:p>
      <w:pPr>
        <w:ind w:left="780" w:hanging="377"/>
        <w:spacing w:after="0"/>
        <w:tabs>
          <w:tab w:leader="none" w:pos="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study sites;</w:t>
      </w:r>
    </w:p>
    <w:p>
      <w:pPr>
        <w:spacing w:after="0" w:line="117" w:lineRule="exact"/>
        <w:rPr>
          <w:rFonts w:ascii="Times New Roman" w:cs="Times New Roman" w:eastAsia="Times New Roman" w:hAnsi="Times New Roman"/>
          <w:sz w:val="18"/>
          <w:szCs w:val="18"/>
          <w:color w:val="auto"/>
        </w:rPr>
      </w:pPr>
    </w:p>
    <w:p>
      <w:pPr>
        <w:ind w:left="780" w:hanging="377"/>
        <w:spacing w:after="0"/>
        <w:tabs>
          <w:tab w:leader="none" w:pos="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clinical trial;</w:t>
      </w:r>
    </w:p>
    <w:p>
      <w:pPr>
        <w:spacing w:after="0" w:line="117" w:lineRule="exact"/>
        <w:rPr>
          <w:rFonts w:ascii="Times New Roman" w:cs="Times New Roman" w:eastAsia="Times New Roman" w:hAnsi="Times New Roman"/>
          <w:sz w:val="18"/>
          <w:szCs w:val="18"/>
          <w:color w:val="auto"/>
        </w:rPr>
      </w:pPr>
    </w:p>
    <w:p>
      <w:pPr>
        <w:ind w:left="780" w:hanging="377"/>
        <w:spacing w:after="0"/>
        <w:tabs>
          <w:tab w:leader="none" w:pos="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117" w:lineRule="exact"/>
        <w:rPr>
          <w:rFonts w:ascii="Times New Roman" w:cs="Times New Roman" w:eastAsia="Times New Roman" w:hAnsi="Times New Roman"/>
          <w:sz w:val="18"/>
          <w:szCs w:val="18"/>
          <w:color w:val="auto"/>
        </w:rPr>
      </w:pPr>
    </w:p>
    <w:p>
      <w:pPr>
        <w:ind w:left="780" w:hanging="377"/>
        <w:spacing w:after="0"/>
        <w:tabs>
          <w:tab w:leader="none" w:pos="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clinical trials for similar therapies or other new therapeutics;</w:t>
      </w:r>
    </w:p>
    <w:p>
      <w:pPr>
        <w:spacing w:after="0" w:line="117" w:lineRule="exact"/>
        <w:rPr>
          <w:rFonts w:ascii="Times New Roman" w:cs="Times New Roman" w:eastAsia="Times New Roman" w:hAnsi="Times New Roman"/>
          <w:sz w:val="18"/>
          <w:szCs w:val="18"/>
          <w:color w:val="auto"/>
        </w:rPr>
      </w:pPr>
    </w:p>
    <w:p>
      <w:pPr>
        <w:ind w:left="780" w:hanging="377"/>
        <w:spacing w:after="0"/>
        <w:tabs>
          <w:tab w:leader="none" w:pos="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w:t>
      </w:r>
    </w:p>
    <w:p>
      <w:pPr>
        <w:spacing w:after="0" w:line="117" w:lineRule="exact"/>
        <w:rPr>
          <w:rFonts w:ascii="Times New Roman" w:cs="Times New Roman" w:eastAsia="Times New Roman" w:hAnsi="Times New Roman"/>
          <w:sz w:val="18"/>
          <w:szCs w:val="18"/>
          <w:color w:val="auto"/>
        </w:rPr>
      </w:pPr>
    </w:p>
    <w:p>
      <w:pPr>
        <w:ind w:left="780" w:hanging="377"/>
        <w:spacing w:after="0"/>
        <w:tabs>
          <w:tab w:leader="none" w:pos="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the clinical trials before completion of their treatment; and</w:t>
      </w:r>
    </w:p>
    <w:p>
      <w:pPr>
        <w:spacing w:after="0" w:line="117" w:lineRule="exact"/>
        <w:rPr>
          <w:rFonts w:ascii="Times New Roman" w:cs="Times New Roman" w:eastAsia="Times New Roman" w:hAnsi="Times New Roman"/>
          <w:sz w:val="18"/>
          <w:szCs w:val="18"/>
          <w:color w:val="auto"/>
        </w:rPr>
      </w:pPr>
    </w:p>
    <w:p>
      <w:pPr>
        <w:ind w:left="780" w:hanging="377"/>
        <w:spacing w:after="0"/>
        <w:tabs>
          <w:tab w:leader="none" w:pos="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we may not be able to control, such as pandemics, that may limit patients, principal investigators or staff or clinical site available.</w:t>
      </w:r>
    </w:p>
    <w:p>
      <w:pPr>
        <w:spacing w:after="0" w:line="117" w:lineRule="exact"/>
        <w:rPr>
          <w:sz w:val="20"/>
          <w:szCs w:val="20"/>
          <w:color w:val="auto"/>
        </w:rPr>
      </w:pPr>
    </w:p>
    <w:p>
      <w:pPr>
        <w:ind w:right="140" w:firstLine="576"/>
        <w:spacing w:after="0" w:line="266" w:lineRule="auto"/>
        <w:rPr>
          <w:sz w:val="20"/>
          <w:szCs w:val="20"/>
          <w:color w:val="auto"/>
        </w:rPr>
      </w:pPr>
      <w:r>
        <w:rPr>
          <w:rFonts w:ascii="Times New Roman" w:cs="Times New Roman" w:eastAsia="Times New Roman" w:hAnsi="Times New Roman"/>
          <w:sz w:val="18"/>
          <w:szCs w:val="18"/>
          <w:color w:val="auto"/>
        </w:rPr>
        <w:t>In addition, because the number of qualified clinical investigators is limited, we expect to conduct some of our clinical trials at the same clinical trial sites that some of our competitors use, which could further reduce the number of patients who are available for our clinical trials in these clinical trial sites.</w:t>
      </w:r>
    </w:p>
    <w:p>
      <w:pPr>
        <w:spacing w:after="0" w:line="68" w:lineRule="exact"/>
        <w:rPr>
          <w:sz w:val="20"/>
          <w:szCs w:val="20"/>
          <w:color w:val="auto"/>
        </w:rPr>
      </w:pPr>
    </w:p>
    <w:p>
      <w:pPr>
        <w:ind w:firstLine="576"/>
        <w:spacing w:after="0" w:line="266" w:lineRule="auto"/>
        <w:rPr>
          <w:sz w:val="20"/>
          <w:szCs w:val="20"/>
          <w:color w:val="auto"/>
        </w:rPr>
      </w:pPr>
      <w:r>
        <w:rPr>
          <w:rFonts w:ascii="Times New Roman" w:cs="Times New Roman" w:eastAsia="Times New Roman" w:hAnsi="Times New Roman"/>
          <w:sz w:val="18"/>
          <w:szCs w:val="18"/>
          <w:color w:val="auto"/>
        </w:rPr>
        <w:t>Delays in patient enrollment may result in increased costs or may affect the timing or outcome of the clinical trials, which could prevent completion of these clinical trials and adversely affect our ability to advance the development of our product candidates. In addition, many of the factors that may lead to a delay in the commencement or completion of clinical trials may also ultimately lead to the denial of regulatory approval of our product candidates.</w:t>
      </w:r>
    </w:p>
    <w:p>
      <w:pPr>
        <w:spacing w:after="0" w:line="6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opportunities for certain of our product candidates may be limited to those patients who are ineligible for or have failed prior treatments and, therefore, may be small, and our projections regarding the size of the addressable market may be incorrect.</w:t>
      </w:r>
    </w:p>
    <w:p>
      <w:pPr>
        <w:spacing w:after="0" w:line="51" w:lineRule="exact"/>
        <w:rPr>
          <w:sz w:val="20"/>
          <w:szCs w:val="20"/>
          <w:color w:val="auto"/>
        </w:rPr>
      </w:pPr>
    </w:p>
    <w:p>
      <w:pPr>
        <w:ind w:right="120" w:firstLine="576"/>
        <w:spacing w:after="0" w:line="255" w:lineRule="auto"/>
        <w:rPr>
          <w:sz w:val="20"/>
          <w:szCs w:val="20"/>
          <w:color w:val="auto"/>
        </w:rPr>
      </w:pPr>
      <w:r>
        <w:rPr>
          <w:rFonts w:ascii="Times New Roman" w:cs="Times New Roman" w:eastAsia="Times New Roman" w:hAnsi="Times New Roman"/>
          <w:sz w:val="18"/>
          <w:szCs w:val="18"/>
          <w:color w:val="auto"/>
        </w:rPr>
        <w:t>Our approach is based on multi-node inhibition of the PI3K/AKT/mTOR pathway. While emerging Phase 3 data from a competitor have provided clinical evidence supporting this broader concept, our specific product candidate, PIKTOR, has not been evaluated in registrational clinical trials, which makes it difficult for us to predict the time and cost of product development and potential for regulatory approval. Cancer therapies are sometimes characterized as first line, second line or third line, and the FDA often approves new therapies initially only for third line use. When cancers are detected they are treated with first line of therapy with the intention of curing the cancer. This treatment generally consists of chemotherapy, radiation, antibody drugs, tumor targeted small molecules, or a combination of these. If the patient’s cancer relapses, then the patient is given a second line or third line therapy,</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3" w:name="page44"/>
    <w:bookmarkEnd w:id="43"/>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which can consist of more chemotherapy, radiation, antibody drugs, tumor targeted small molecules, or a combination of these. Generally, the higher the line of therapy, the lower the chance of a cure. With third or higher line, the goal of the therapy is to control the growth of the tumor and extend the life of the patient, as a cure is unlikely to happen. Patients are generally referred to clinical trials in these situations.</w:t>
      </w:r>
    </w:p>
    <w:p>
      <w:pPr>
        <w:spacing w:after="0" w:line="68" w:lineRule="exact"/>
        <w:rPr>
          <w:sz w:val="20"/>
          <w:szCs w:val="20"/>
          <w:color w:val="auto"/>
        </w:rPr>
      </w:pPr>
    </w:p>
    <w:p>
      <w:pPr>
        <w:ind w:right="340" w:firstLine="576"/>
        <w:spacing w:after="0" w:line="282" w:lineRule="auto"/>
        <w:rPr>
          <w:sz w:val="20"/>
          <w:szCs w:val="20"/>
          <w:color w:val="auto"/>
        </w:rPr>
      </w:pPr>
      <w:r>
        <w:rPr>
          <w:rFonts w:ascii="Times New Roman" w:cs="Times New Roman" w:eastAsia="Times New Roman" w:hAnsi="Times New Roman"/>
          <w:sz w:val="18"/>
          <w:szCs w:val="18"/>
          <w:color w:val="auto"/>
        </w:rPr>
        <w:t>There is no guarantee that any of our product candidates, even if approved, would be approved for an early line of therapy. In addition, we may have to conduct additional large randomized clinical trials prior to gaining approval for the earlier line of therapy.</w:t>
      </w:r>
    </w:p>
    <w:p>
      <w:pPr>
        <w:spacing w:after="0" w:line="54" w:lineRule="exact"/>
        <w:rPr>
          <w:sz w:val="20"/>
          <w:szCs w:val="20"/>
          <w:color w:val="auto"/>
        </w:rPr>
      </w:pPr>
    </w:p>
    <w:p>
      <w:pPr>
        <w:ind w:right="100" w:firstLine="576"/>
        <w:spacing w:after="0" w:line="254" w:lineRule="auto"/>
        <w:rPr>
          <w:sz w:val="20"/>
          <w:szCs w:val="20"/>
          <w:color w:val="auto"/>
        </w:rPr>
      </w:pPr>
      <w:r>
        <w:rPr>
          <w:rFonts w:ascii="Times New Roman" w:cs="Times New Roman" w:eastAsia="Times New Roman" w:hAnsi="Times New Roman"/>
          <w:sz w:val="18"/>
          <w:szCs w:val="18"/>
          <w:color w:val="auto"/>
        </w:rPr>
        <w:t>Our projections of both the number of people who have the cancers we are targeting, as well as the size of the patient population subset of people with these cancers in a position to receive first, second, third and fourth line therapy and who have the potential to benefit from treatment with our product candidates, are based on our beliefs and estimates. These estimates have been derived from a variety of sources, including scientific literature, surveys of clinics, patient foundations, or market research and may prove to be incorrect. Further, new studies may change the estimated incidence or prevalence of these cancers. The number of patients may turn out to be fewer than expected. Additionally, the potentially addressable patient population for our product candidates may be limited or may not be amenable to treatment with our product candidates. Even if we obtain significant market share for our product candidates, because the potential target populations are small, we may never achieve significant revenues without obtaining regulatory approval for additional indications or as part of earlier lines of therapy.</w:t>
      </w:r>
    </w:p>
    <w:p>
      <w:pPr>
        <w:spacing w:after="0" w:line="80"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projections of addressable market opportunity for PIKTOR are based on estimates and assumptions that may prove incorrect, and the actual commercial opportunity may be substantially smaller than we expect.</w:t>
      </w:r>
    </w:p>
    <w:p>
      <w:pPr>
        <w:spacing w:after="0" w:line="51" w:lineRule="exact"/>
        <w:rPr>
          <w:sz w:val="20"/>
          <w:szCs w:val="20"/>
          <w:color w:val="auto"/>
        </w:rPr>
      </w:pPr>
    </w:p>
    <w:p>
      <w:pPr>
        <w:ind w:right="260" w:firstLine="576"/>
        <w:spacing w:after="0" w:line="261" w:lineRule="auto"/>
        <w:rPr>
          <w:sz w:val="20"/>
          <w:szCs w:val="20"/>
          <w:color w:val="auto"/>
        </w:rPr>
      </w:pPr>
      <w:r>
        <w:rPr>
          <w:rFonts w:ascii="Times New Roman" w:cs="Times New Roman" w:eastAsia="Times New Roman" w:hAnsi="Times New Roman"/>
          <w:sz w:val="18"/>
          <w:szCs w:val="18"/>
          <w:color w:val="auto"/>
        </w:rPr>
        <w:t>We have made internal estimates of the total addressable market for PIKTOR and other product candidates targeting the PI3K/AKT/mTOR pathway, including estimates of patient populations, treatment penetration rates, and potential pricing. These estimates are based on a variety of sources, including published scientific literature, epidemiological data, market research and our own assumptions about competitive dynamics. However, these estimates are inherently uncertain and may prove to be materially incorrect.</w:t>
      </w:r>
    </w:p>
    <w:p>
      <w:pPr>
        <w:spacing w:after="0" w:line="72" w:lineRule="exact"/>
        <w:rPr>
          <w:sz w:val="20"/>
          <w:szCs w:val="20"/>
          <w:color w:val="auto"/>
        </w:rPr>
      </w:pPr>
    </w:p>
    <w:p>
      <w:pPr>
        <w:ind w:right="60" w:firstLine="576"/>
        <w:spacing w:after="0" w:line="256" w:lineRule="auto"/>
        <w:rPr>
          <w:sz w:val="20"/>
          <w:szCs w:val="20"/>
          <w:color w:val="auto"/>
        </w:rPr>
      </w:pPr>
      <w:r>
        <w:rPr>
          <w:rFonts w:ascii="Times New Roman" w:cs="Times New Roman" w:eastAsia="Times New Roman" w:hAnsi="Times New Roman"/>
          <w:sz w:val="18"/>
          <w:szCs w:val="18"/>
          <w:color w:val="auto"/>
        </w:rPr>
        <w:t>The actual addressable market for PIKTOR may be smaller than we estimate for several reasons, including: the number of patients with actionable alterations in the PI3K/AKT/mTOR pathway may be lower than projected; physicians may not adopt PIKTOR over established therapies; payors may restrict reimbursement; PIKTOR may initially be approved only for later-line treatment settings with smaller patient populations; competing products may capture significant market share before PIKTOR reaches the market; and advances in precision oncology may further segment the patient population. If the actual market opportunity for PIKTOR is materially smaller than our estimates, we may not be able to generate sufficient revenue to justify our development investment, which could have a material adverse effect on our business and financial condition.</w:t>
      </w:r>
    </w:p>
    <w:p>
      <w:pPr>
        <w:spacing w:after="0" w:line="79" w:lineRule="exact"/>
        <w:rPr>
          <w:sz w:val="20"/>
          <w:szCs w:val="20"/>
          <w:color w:val="auto"/>
        </w:rPr>
      </w:pPr>
    </w:p>
    <w:p>
      <w:pPr>
        <w:ind w:right="60" w:firstLine="576"/>
        <w:spacing w:after="0" w:line="254" w:lineRule="auto"/>
        <w:rPr>
          <w:sz w:val="20"/>
          <w:szCs w:val="20"/>
          <w:color w:val="auto"/>
        </w:rPr>
      </w:pPr>
      <w:r>
        <w:rPr>
          <w:rFonts w:ascii="Times New Roman" w:cs="Times New Roman" w:eastAsia="Times New Roman" w:hAnsi="Times New Roman"/>
          <w:sz w:val="18"/>
          <w:szCs w:val="18"/>
          <w:color w:val="auto"/>
        </w:rPr>
        <w:t>In particular, our estimates of PIKTOR’s addressable market include an assumption that multi-node inhibition may confer clinical benefit to patients whose tumors are activated through the PI3K/AKT/mTOR pathway in its non-mutated, or “wild-type,” state, either through dysregulated upstream signaling or as an adaptive response to prior therapy. This belief is based on limited clinical data from a small number of patients in an open-label, uncontrolled Phase 1b study in which responses were observed across multiple mutational classifications, including in patients with no detectable pathway mutations, and on our interpretation of PIKTOR’s mechanism of action. These observations have not been confirmed in larger or controlled clinical trials and may not be replicated in our ongoing or planned studies. If multi-node inhibition does not demonstrate meaningful clinical benefit in patients without direct PI3K/AKT/mTOR pathway alterations, the addressable patient population for PIKTOR could be significantly smaller than we currently estimate, which would reduce our anticipated commercial opportunity and could have a material adverse effect on our business, financial condition, and prospects.</w:t>
      </w:r>
    </w:p>
    <w:p>
      <w:pPr>
        <w:spacing w:after="0" w:line="80"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side effects or other safety risks associated with our product candidates could delay or preclude approval, cause us to suspend or discontinue clinical trials, cause us to abandon product candidates, could limit the commercial profile of an approved label, or could result in significant negative consequences following any potential marketing approval.</w:t>
      </w:r>
    </w:p>
    <w:p>
      <w:pPr>
        <w:spacing w:after="0" w:line="67" w:lineRule="exact"/>
        <w:rPr>
          <w:sz w:val="20"/>
          <w:szCs w:val="20"/>
          <w:color w:val="auto"/>
        </w:rPr>
      </w:pPr>
    </w:p>
    <w:p>
      <w:pPr>
        <w:ind w:firstLine="576"/>
        <w:spacing w:after="0" w:line="253" w:lineRule="auto"/>
        <w:rPr>
          <w:sz w:val="20"/>
          <w:szCs w:val="20"/>
          <w:color w:val="auto"/>
        </w:rPr>
      </w:pPr>
      <w:r>
        <w:rPr>
          <w:rFonts w:ascii="Times New Roman" w:cs="Times New Roman" w:eastAsia="Times New Roman" w:hAnsi="Times New Roman"/>
          <w:sz w:val="18"/>
          <w:szCs w:val="18"/>
          <w:color w:val="auto"/>
        </w:rPr>
        <w:t>Our clinical trials will include cancer patients who are very sick and whose health is deteriorating. It is possible that some of these patients may experience side effects during our clinical trials. For example, in a prior clinical trial of PIKTOR, it was reported that one patient had Grade 3 septic shock that was determined to be drug-related. In addition, PI3K and mTOR inhibitors as a class are associated with known adverse effects including hyperglycemia, stomatitis, diarrhea, rash and hepatotoxicity. These class-effect toxicities have been observed with approved drugs targeting this pathway and may also be associated with PIKTOR. If these or other adverse effects occur with unacceptable frequency or severity in our clinical trials, our ability to develop and commercialize PIKTOR could be materially impaired. Further, patients may die during our clinical trials for various reasons. The causes of death could include receiving our product candidates because the patient’s disease is too advanced or because the patient experiences medical problems that may not be related to our product candidate. Even if the patient deaths are not related to our product candidate, the deaths could affect perceptions regarding the safety of our product candidates. Patient deaths and severe side effects caused by our product candidates, or by products or product candidates of other companies that are thought to have similarities with our product candidates, could result in the delay, suspension, clinical hold or termination of our clinical trials, the FDA or other regulatory authorities for a number of reasons. If we elect or are required to delay, suspend or terminate any clinical trial of any product candidates that we</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4" w:name="page45"/>
    <w:bookmarkEnd w:id="44"/>
    <w:p>
      <w:pPr>
        <w:ind w:right="360"/>
        <w:spacing w:after="0" w:line="266" w:lineRule="auto"/>
        <w:rPr>
          <w:sz w:val="20"/>
          <w:szCs w:val="20"/>
          <w:color w:val="auto"/>
        </w:rPr>
      </w:pPr>
      <w:r>
        <w:rPr>
          <w:rFonts w:ascii="Times New Roman" w:cs="Times New Roman" w:eastAsia="Times New Roman" w:hAnsi="Times New Roman"/>
          <w:sz w:val="18"/>
          <w:szCs w:val="18"/>
          <w:color w:val="auto"/>
        </w:rPr>
        <w:t>develop, the commercial prospects of such product candidates will be harmed and our ability to generate product revenues from any of these product candidates would be delayed or eliminated. Serious adverse events observed in clinical trials could hinder or prevent market acceptance of the product candidate at issue. Any of these occurrences may harm our business, prospects, financial condition and results of operations significantly.</w:t>
      </w:r>
    </w:p>
    <w:p>
      <w:pPr>
        <w:spacing w:after="0" w:line="68" w:lineRule="exact"/>
        <w:rPr>
          <w:sz w:val="20"/>
          <w:szCs w:val="20"/>
          <w:color w:val="auto"/>
        </w:rPr>
      </w:pPr>
    </w:p>
    <w:p>
      <w:pPr>
        <w:ind w:right="80" w:firstLine="576"/>
        <w:spacing w:after="0" w:line="266" w:lineRule="auto"/>
        <w:rPr>
          <w:sz w:val="20"/>
          <w:szCs w:val="20"/>
          <w:color w:val="auto"/>
        </w:rPr>
      </w:pPr>
      <w:r>
        <w:rPr>
          <w:rFonts w:ascii="Times New Roman" w:cs="Times New Roman" w:eastAsia="Times New Roman" w:hAnsi="Times New Roman"/>
          <w:sz w:val="18"/>
          <w:szCs w:val="18"/>
          <w:color w:val="auto"/>
        </w:rPr>
        <w:t>Additionally, if one or more of our product candidates receives marketing approval, and we or others later identify undesirable side effects caused by such products, including during any long-term follow-up observation period recommended or required for patients who receive treatment using our products, a number of potentially significant negative consequences could result, including:</w:t>
      </w:r>
    </w:p>
    <w:p>
      <w:pPr>
        <w:spacing w:after="0" w:line="68" w:lineRule="exact"/>
        <w:rPr>
          <w:sz w:val="20"/>
          <w:szCs w:val="20"/>
          <w:color w:val="auto"/>
        </w:rPr>
      </w:pPr>
    </w:p>
    <w:p>
      <w:pPr>
        <w:ind w:left="780" w:hanging="382"/>
        <w:spacing w:after="0"/>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or limit their approval of such products;</w:t>
      </w:r>
    </w:p>
    <w:p>
      <w:pPr>
        <w:spacing w:after="0" w:line="117" w:lineRule="exact"/>
        <w:rPr>
          <w:rFonts w:ascii="Times New Roman" w:cs="Times New Roman" w:eastAsia="Times New Roman" w:hAnsi="Times New Roman"/>
          <w:sz w:val="18"/>
          <w:szCs w:val="18"/>
          <w:color w:val="auto"/>
        </w:rPr>
      </w:pPr>
    </w:p>
    <w:p>
      <w:pPr>
        <w:ind w:left="780" w:hanging="382"/>
        <w:spacing w:after="0"/>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“boxed” warning or a contraindication;</w:t>
      </w:r>
    </w:p>
    <w:p>
      <w:pPr>
        <w:spacing w:after="0" w:line="117" w:lineRule="exact"/>
        <w:rPr>
          <w:rFonts w:ascii="Times New Roman" w:cs="Times New Roman" w:eastAsia="Times New Roman" w:hAnsi="Times New Roman"/>
          <w:sz w:val="18"/>
          <w:szCs w:val="18"/>
          <w:color w:val="auto"/>
        </w:rPr>
      </w:pPr>
    </w:p>
    <w:p>
      <w:pPr>
        <w:ind w:left="780" w:right="140" w:hanging="382"/>
        <w:spacing w:after="0" w:line="266" w:lineRule="auto"/>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Risk Evaluation and Mitigation Strategy, or REMS, plan, which could include a medication guide outlining the risks of such side effects for distribution to patients, a communication plan for healthcare providers, and/or other elements to assure safe use, such as restricted distribution methods, patient registries and other risk minimization tools;</w:t>
      </w:r>
    </w:p>
    <w:p>
      <w:pPr>
        <w:spacing w:after="0" w:line="67" w:lineRule="exact"/>
        <w:rPr>
          <w:rFonts w:ascii="Times New Roman" w:cs="Times New Roman" w:eastAsia="Times New Roman" w:hAnsi="Times New Roman"/>
          <w:sz w:val="18"/>
          <w:szCs w:val="18"/>
          <w:color w:val="auto"/>
        </w:rPr>
      </w:pPr>
    </w:p>
    <w:p>
      <w:pPr>
        <w:ind w:left="780" w:hanging="382"/>
        <w:spacing w:after="0"/>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to remove such products from the marketplace;</w:t>
      </w:r>
    </w:p>
    <w:p>
      <w:pPr>
        <w:spacing w:after="0" w:line="117" w:lineRule="exact"/>
        <w:rPr>
          <w:rFonts w:ascii="Times New Roman" w:cs="Times New Roman" w:eastAsia="Times New Roman" w:hAnsi="Times New Roman"/>
          <w:sz w:val="18"/>
          <w:szCs w:val="18"/>
          <w:color w:val="auto"/>
        </w:rPr>
      </w:pPr>
    </w:p>
    <w:p>
      <w:pPr>
        <w:ind w:left="780" w:hanging="382"/>
        <w:spacing w:after="0"/>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117" w:lineRule="exact"/>
        <w:rPr>
          <w:rFonts w:ascii="Times New Roman" w:cs="Times New Roman" w:eastAsia="Times New Roman" w:hAnsi="Times New Roman"/>
          <w:sz w:val="18"/>
          <w:szCs w:val="18"/>
          <w:color w:val="auto"/>
        </w:rPr>
      </w:pPr>
    </w:p>
    <w:p>
      <w:pPr>
        <w:ind w:left="780" w:hanging="382"/>
        <w:spacing w:after="0"/>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17" w:lineRule="exact"/>
        <w:rPr>
          <w:sz w:val="20"/>
          <w:szCs w:val="20"/>
          <w:color w:val="auto"/>
        </w:rPr>
      </w:pPr>
    </w:p>
    <w:p>
      <w:pPr>
        <w:ind w:firstLine="576"/>
        <w:spacing w:after="0" w:line="282" w:lineRule="auto"/>
        <w:rPr>
          <w:sz w:val="20"/>
          <w:szCs w:val="20"/>
          <w:color w:val="auto"/>
        </w:rPr>
      </w:pPr>
      <w:r>
        <w:rPr>
          <w:rFonts w:ascii="Times New Roman" w:cs="Times New Roman" w:eastAsia="Times New Roman" w:hAnsi="Times New Roman"/>
          <w:sz w:val="18"/>
          <w:szCs w:val="18"/>
          <w:color w:val="auto"/>
        </w:rPr>
        <w:t>Any of the foregoing could prevent us from achieving or maintaining market acceptance of the particular product candidate, if approved, and could significantly harm our business, results of operations, and prospects.</w:t>
      </w:r>
    </w:p>
    <w:p>
      <w:pPr>
        <w:spacing w:after="0" w:line="50"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preclinical studies and clinical trials, the marketing approval process is expensive, time-consuming and uncertain and may prevent us or any future collaboration partners from obtaining approvals for the commercialization of any other product candidate we develop.</w:t>
      </w:r>
    </w:p>
    <w:p>
      <w:pPr>
        <w:spacing w:after="0" w:line="67" w:lineRule="exact"/>
        <w:rPr>
          <w:sz w:val="20"/>
          <w:szCs w:val="20"/>
          <w:color w:val="auto"/>
        </w:rPr>
      </w:pPr>
    </w:p>
    <w:p>
      <w:pPr>
        <w:ind w:firstLine="576"/>
        <w:spacing w:after="0" w:line="253" w:lineRule="auto"/>
        <w:rPr>
          <w:sz w:val="20"/>
          <w:szCs w:val="20"/>
          <w:color w:val="auto"/>
        </w:rPr>
      </w:pPr>
      <w:r>
        <w:rPr>
          <w:rFonts w:ascii="Times New Roman" w:cs="Times New Roman" w:eastAsia="Times New Roman" w:hAnsi="Times New Roman"/>
          <w:sz w:val="18"/>
          <w:szCs w:val="18"/>
          <w:color w:val="auto"/>
        </w:rPr>
        <w:t>Any product candidate we may develop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authorities in the United States and by comparable authorities in other countries. Failure to obtain marketing approval for a product candidate will prevent us from commercializing the product candidate in a given jurisdiction. We have not received approval to market any product candidates from regulatory authorities in any jurisdiction and it is possible that none of the product candidates we may seek to develop in the future will ever obtain regulatory approval. We have no experience in filing and supporting the applications necessary to gain marketing approvals and expect to rely on third-party contract research organizations, or CROs, 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Any product candidates we develop may not be effective, may be only moderately effective, or may prove to have undesirable or unintended side effects, toxicities or other characteristics that may preclude our obtaining marketing approval or prevent or limit commercial use.</w:t>
      </w:r>
    </w:p>
    <w:p>
      <w:pPr>
        <w:spacing w:after="0" w:line="82" w:lineRule="exact"/>
        <w:rPr>
          <w:sz w:val="20"/>
          <w:szCs w:val="20"/>
          <w:color w:val="auto"/>
        </w:rPr>
      </w:pPr>
    </w:p>
    <w:p>
      <w:pPr>
        <w:ind w:right="100" w:firstLine="576"/>
        <w:spacing w:after="0" w:line="272" w:lineRule="auto"/>
        <w:rPr>
          <w:sz w:val="20"/>
          <w:szCs w:val="20"/>
          <w:color w:val="auto"/>
        </w:rPr>
      </w:pPr>
      <w:r>
        <w:rPr>
          <w:rFonts w:ascii="Times New Roman" w:cs="Times New Roman" w:eastAsia="Times New Roman" w:hAnsi="Times New Roman"/>
          <w:sz w:val="17"/>
          <w:szCs w:val="17"/>
          <w:color w:val="auto"/>
        </w:rPr>
        <w:t>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64" w:lineRule="exact"/>
        <w:rPr>
          <w:sz w:val="20"/>
          <w:szCs w:val="20"/>
          <w:color w:val="auto"/>
        </w:rPr>
      </w:pPr>
    </w:p>
    <w:p>
      <w:pPr>
        <w:ind w:right="20" w:firstLine="576"/>
        <w:spacing w:after="0" w:line="282"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any product candidates we may develop, the commercial prospects for those product candidates may be harmed, and our ability to generate revenues may be materially impaired.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Manufacturing and our Dependence on Third Parties</w:t>
      </w:r>
    </w:p>
    <w:p>
      <w:pPr>
        <w:spacing w:after="0" w:line="11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rely, and expect to continue to rely, on third parties to conduct, supervise, and monitor our preclinical studies and clinical trials. If those third parties do not perform satisfactorily, including failing to meet deadlines for the completion of such</w:t>
      </w:r>
    </w:p>
    <w:p>
      <w:pPr>
        <w:spacing w:after="0" w:line="2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trials or failing to comply with regulatory requirements, we may be unable to obtain regulatory approval for our product candidates.</w:t>
      </w:r>
    </w:p>
    <w:p>
      <w:pPr>
        <w:spacing w:after="0" w:line="121" w:lineRule="exact"/>
        <w:rPr>
          <w:sz w:val="20"/>
          <w:szCs w:val="20"/>
          <w:color w:val="auto"/>
        </w:rPr>
      </w:pPr>
    </w:p>
    <w:p>
      <w:pPr>
        <w:ind w:right="20" w:firstLine="576"/>
        <w:spacing w:after="0" w:line="255" w:lineRule="auto"/>
        <w:rPr>
          <w:sz w:val="20"/>
          <w:szCs w:val="20"/>
          <w:color w:val="auto"/>
        </w:rPr>
      </w:pPr>
      <w:r>
        <w:rPr>
          <w:rFonts w:ascii="Times New Roman" w:cs="Times New Roman" w:eastAsia="Times New Roman" w:hAnsi="Times New Roman"/>
          <w:sz w:val="18"/>
          <w:szCs w:val="18"/>
          <w:color w:val="auto"/>
        </w:rPr>
        <w:t>We currently rely on third-party CROs, academic institutions, study sites, clinical investigators and others to conduct, supervise, and monitor our preclinical studies and clinical trials. We expect to continue to rely on third parties, such as CROs, clinical data management organizations, medical institutions, and clinical investigators, to conduct our preclinical studies and clinical trials. Although we currently have or plan to enter into agreements governing the activities of these third parties,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be delayed in completing or unable to complete the studies required to develop PIKTOR and other current and future product candidates, or we may not obtain marketing approval for, or commercialize, PIKTOR or our other current and future product candidates in a timely manner or at all.</w:t>
      </w:r>
    </w:p>
    <w:p>
      <w:pPr>
        <w:spacing w:after="0" w:line="81" w:lineRule="exact"/>
        <w:rPr>
          <w:sz w:val="20"/>
          <w:szCs w:val="20"/>
          <w:color w:val="auto"/>
        </w:rPr>
      </w:pPr>
    </w:p>
    <w:p>
      <w:pPr>
        <w:ind w:right="180" w:firstLine="576"/>
        <w:spacing w:after="0" w:line="266" w:lineRule="auto"/>
        <w:rPr>
          <w:sz w:val="20"/>
          <w:szCs w:val="20"/>
          <w:color w:val="auto"/>
        </w:rPr>
      </w:pPr>
      <w:r>
        <w:rPr>
          <w:rFonts w:ascii="Times New Roman" w:cs="Times New Roman" w:eastAsia="Times New Roman" w:hAnsi="Times New Roman"/>
          <w:sz w:val="18"/>
          <w:szCs w:val="18"/>
          <w:color w:val="auto"/>
        </w:rPr>
        <w:t>Moreover, these agreements might terminate for a variety of reasons, including a failure to perform by the third parties. If we need to enter into alternative arrangements our product development activities could be delayed and our business, financial condition, results of operations, stock price and prospects may be materially harmed.</w:t>
      </w:r>
    </w:p>
    <w:p>
      <w:pPr>
        <w:spacing w:after="0" w:line="68"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reliance on these third parties for development activities reduces our control over these activities. Nevertheless, we are responsible for ensuring that each of our studies is conducted in accordance with the applicable protocol, legal, regulatory, and scientific standards and our reliance on third parties does not relieve us of our regulatory responsibilities. For example, we will remain responsible for ensuring that each of our trials is conducted in accordance with the general investigational plan and protocols for the trial. We must also ensure that our preclinical studies are conducted in accordance with the FDA’s Good Laboratory Practice, or GLP, regulations, as appropriate. Moreover, the FDA and comparable foreign regulatory authorities require us to comply with GCPs for conducting, recording, and reporting the results of clinical trials to assure that data and reported results are credible and accurate and that the rights, integrity, and confidentiality of trial participants are protected. Regulatory authorities enforce these requirements through periodic inspections of trial sponsors, clinical investigators, and trial sites. If we or any of our third parties fail to comply with applicable GCPs or other regulatory requirements, we or they may be subject to enforcement or other legal actions, the data generated in our trials may be deemed unreliable and the FDA or comparable foreign regulatory authorities may require us to perform additional studies.</w:t>
      </w:r>
    </w:p>
    <w:p>
      <w:pPr>
        <w:spacing w:after="0" w:line="86" w:lineRule="exact"/>
        <w:rPr>
          <w:sz w:val="20"/>
          <w:szCs w:val="20"/>
          <w:color w:val="auto"/>
        </w:rPr>
      </w:pPr>
    </w:p>
    <w:p>
      <w:pPr>
        <w:jc w:val="both"/>
        <w:ind w:right="360" w:firstLine="509"/>
        <w:spacing w:after="0" w:line="266" w:lineRule="auto"/>
        <w:rPr>
          <w:sz w:val="20"/>
          <w:szCs w:val="20"/>
          <w:color w:val="auto"/>
        </w:rPr>
      </w:pPr>
      <w:r>
        <w:rPr>
          <w:rFonts w:ascii="Times New Roman" w:cs="Times New Roman" w:eastAsia="Times New Roman" w:hAnsi="Times New Roman"/>
          <w:sz w:val="18"/>
          <w:szCs w:val="18"/>
          <w:color w:val="auto"/>
        </w:rPr>
        <w:t>In addition, we will be required to report certain financial interests of our third-party investigators if these relationships exceed certain financial thresholds or meet other criteria. The FDA or comparable foreign regulatory authorities may question the integrity of the data from those clinical trials conducted by investigators who may have conflicts of interest.</w:t>
      </w:r>
    </w:p>
    <w:p>
      <w:pPr>
        <w:spacing w:after="0" w:line="68" w:lineRule="exact"/>
        <w:rPr>
          <w:sz w:val="20"/>
          <w:szCs w:val="20"/>
          <w:color w:val="auto"/>
        </w:rPr>
      </w:pPr>
    </w:p>
    <w:p>
      <w:pPr>
        <w:ind w:right="20" w:firstLine="576"/>
        <w:spacing w:after="0" w:line="258" w:lineRule="auto"/>
        <w:rPr>
          <w:sz w:val="20"/>
          <w:szCs w:val="20"/>
          <w:color w:val="auto"/>
        </w:rPr>
      </w:pPr>
      <w:r>
        <w:rPr>
          <w:rFonts w:ascii="Times New Roman" w:cs="Times New Roman" w:eastAsia="Times New Roman" w:hAnsi="Times New Roman"/>
          <w:sz w:val="18"/>
          <w:szCs w:val="18"/>
          <w:color w:val="auto"/>
        </w:rPr>
        <w:t>We cannot assure you that upon inspection by a given regulatory authority, such regulatory authority will determine that any of our clinical trials comply with the applicable regulatory requirements. In addition, our clinical trials must be conducted with product candidates that were produced under cGMP regulations. Failure to comply with these regulations may require us to repeat clinical trials, which would delay the regulatory approval process. We also are required to register certain clinical trials and post the results of certain completed clinical trials on a government-sponsored database, ClinicalTrials.gov, within specified timeframes. Failure to do so can result in enforcement actions and adverse publicity.</w:t>
      </w:r>
    </w:p>
    <w:p>
      <w:pPr>
        <w:spacing w:after="0" w:line="75" w:lineRule="exact"/>
        <w:rPr>
          <w:sz w:val="20"/>
          <w:szCs w:val="20"/>
          <w:color w:val="auto"/>
        </w:rPr>
      </w:pPr>
    </w:p>
    <w:p>
      <w:pPr>
        <w:ind w:firstLine="576"/>
        <w:spacing w:after="0" w:line="253" w:lineRule="auto"/>
        <w:rPr>
          <w:sz w:val="20"/>
          <w:szCs w:val="20"/>
          <w:color w:val="auto"/>
        </w:rPr>
      </w:pPr>
      <w:r>
        <w:rPr>
          <w:rFonts w:ascii="Times New Roman" w:cs="Times New Roman" w:eastAsia="Times New Roman" w:hAnsi="Times New Roman"/>
          <w:sz w:val="18"/>
          <w:szCs w:val="18"/>
          <w:color w:val="auto"/>
        </w:rPr>
        <w:t>The third parties with which we work may also have relationships with other entities, some of which may be our competitors, for whom they may also be conducting trials or other therapeutic development activities that could harm our competitive position. In addition, such third parties are not our employees, and except for remedies available to us under our agreements with such third parties we cannot control whether or not they devote sufficient time and resources to the development of our product candidates. If these third parties do not successfully carry out their contractual duties, meet expected deadlines or conduct our preclinical studies or clinical trials in accordance with regulatory requirements or our stated protocols, if these parties are adversely impacted by a pandemic limiting or materially affecting their ability to carry out their contractual duties, if they need to be replaced or if the quality or accuracy of the data they obtain is compromised due to the failure to adhere to our protocols, regulatory requirements or for other reasons, our trials may be repeated, extended, delayed, or terminated; we may not be able to obtain, or may be delayed in obtaining, marketing approvals for current and future product candidates; we may not be able to, or may be delayed in our efforts to, successfully commercialize current and future product candidates; or we or they may be subject to regulatory enforcement actions. As a result, our results of operations and the commercial prospects for current and future product candidates may be harmed, our costs could increase and our ability to generate revenues could be delayed. To the extent we are unable to successfully identify and manage the performance of third-party service providers in the future, our business, financial condition, results of operations, stock price and prospects may be materially harmed.</w:t>
      </w:r>
    </w:p>
    <w:p>
      <w:pPr>
        <w:spacing w:after="0" w:line="79" w:lineRule="exact"/>
        <w:rPr>
          <w:sz w:val="20"/>
          <w:szCs w:val="20"/>
          <w:color w:val="auto"/>
        </w:rPr>
      </w:pPr>
    </w:p>
    <w:p>
      <w:pPr>
        <w:ind w:right="160" w:firstLine="576"/>
        <w:spacing w:after="0" w:line="266" w:lineRule="auto"/>
        <w:rPr>
          <w:sz w:val="20"/>
          <w:szCs w:val="20"/>
          <w:color w:val="auto"/>
        </w:rPr>
      </w:pPr>
      <w:r>
        <w:rPr>
          <w:rFonts w:ascii="Times New Roman" w:cs="Times New Roman" w:eastAsia="Times New Roman" w:hAnsi="Times New Roman"/>
          <w:sz w:val="18"/>
          <w:szCs w:val="18"/>
          <w:color w:val="auto"/>
        </w:rPr>
        <w:t>We may enter into collaborations for our current or future product candidates or technologies. We cannot control the timing or quantity of resources that our existing or future collaborators will dedicate to research, preclinical and clinical development. Our collaborators may not perform their obligations according to our expectations or standards of quality. Our collaborators could terminate our existing agreements for a number of reasons.</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46" w:name="page47"/>
    <w:bookmarkEnd w:id="46"/>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We will also rely on other third parties to store and distribute our product candidates for the clinical trials that we plan to conduct. Any performance failure on the part of our distributors could delay clinical development, marketing approval, or commercialization of current and future product candidates, which could result in additional losses and deprive us of potential product revenue.</w:t>
      </w:r>
    </w:p>
    <w:p>
      <w:pPr>
        <w:spacing w:after="0" w:line="68" w:lineRule="exact"/>
        <w:rPr>
          <w:sz w:val="20"/>
          <w:szCs w:val="20"/>
          <w:color w:val="auto"/>
        </w:rPr>
      </w:pPr>
    </w:p>
    <w:p>
      <w:pPr>
        <w:ind w:right="20" w:firstLine="576"/>
        <w:spacing w:after="0" w:line="261" w:lineRule="auto"/>
        <w:rPr>
          <w:sz w:val="20"/>
          <w:szCs w:val="20"/>
          <w:color w:val="auto"/>
        </w:rPr>
      </w:pPr>
      <w:r>
        <w:rPr>
          <w:rFonts w:ascii="Times New Roman" w:cs="Times New Roman" w:eastAsia="Times New Roman" w:hAnsi="Times New Roman"/>
          <w:sz w:val="18"/>
          <w:szCs w:val="18"/>
          <w:color w:val="auto"/>
        </w:rPr>
        <w:t>If any of our relationships with these third parties terminate, we may not be able to enter into arrangements with alternative providers or to do so on commercially reasonable terms. Switching or adding additional third parties involves additional cost and requires management’s time and focus. In addition, there is a natural transition period when a new third party commences work. As a result, delays could occur, which could compromise our ability to meet our desired development timelines.</w:t>
      </w:r>
    </w:p>
    <w:p>
      <w:pPr>
        <w:spacing w:after="0" w:line="6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current and future product candidates will be evaluated in combination with third-party drugs, and we will have limited or no control over the supply, regulatory status, or regulatory approval of such drugs.</w:t>
      </w:r>
    </w:p>
    <w:p>
      <w:pPr>
        <w:spacing w:after="0" w:line="51" w:lineRule="exact"/>
        <w:rPr>
          <w:sz w:val="20"/>
          <w:szCs w:val="20"/>
          <w:color w:val="auto"/>
        </w:rPr>
      </w:pPr>
    </w:p>
    <w:p>
      <w:pPr>
        <w:ind w:right="40" w:firstLine="576"/>
        <w:spacing w:after="0" w:line="253" w:lineRule="auto"/>
        <w:rPr>
          <w:sz w:val="20"/>
          <w:szCs w:val="20"/>
          <w:color w:val="auto"/>
        </w:rPr>
      </w:pPr>
      <w:r>
        <w:rPr>
          <w:rFonts w:ascii="Times New Roman" w:cs="Times New Roman" w:eastAsia="Times New Roman" w:hAnsi="Times New Roman"/>
          <w:sz w:val="18"/>
          <w:szCs w:val="18"/>
          <w:color w:val="auto"/>
        </w:rPr>
        <w:t>Our ability to develop and ultimately commercialize current and future product candidates used in combination with other compounds will depend on our ability to access such drugs on commercially reasonable terms for clinical trials and their availability for use with the commercialized product, if approved. Any failure to enter into successful commercial relationships, or inability to source or purchase other potential combination agents in the market, may delay our development timelines, increase our costs and jeopardize our ability to develop current and future product candidates as potential combination therapies, which may materially harm our business, financial condition, results of operations, stock price and prospects. Moreover, the development of product candidates for use in combination with another product or product candidate may present challenges that are not encountered when developing single-agent product candidates. For example, the FDA may require us to use more complex clinical trial designs in order to evaluate the contribution of each product and product candidate to any observed effects. Additionally, following product approval, the FDA may require that products used in conjunction with each other be cross labeled for combined use. To the extent that we do not have rights to the other product, this may require us to work with a third party under terms unfavorable to us to satisfy such a requirement. Moreover, developments related to the other product may impact our clinical trials for the combination as well as our commercial prospects should we receive marketing approval. Such developments may include changes to the other product’s safety or efficacy profile, changes to the availability of the approved product, and changes to the standard of care.</w:t>
      </w:r>
    </w:p>
    <w:p>
      <w:pPr>
        <w:spacing w:after="0" w:line="78"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CMOs for the production of PIKTOR and we expect to rely on CMOs for our other product candidates. This reliance on CMOs increases the risk that we will not have sufficient quantities of such materials, product candidates, or any therapies that we may develop and commercialize, or that such supply will not be available to us at an acceptable cost, which could delay, prevent, or impair our development or commercialization efforts.</w:t>
      </w:r>
    </w:p>
    <w:p>
      <w:pPr>
        <w:spacing w:after="0" w:line="72"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Because PIKTOR is a combination of two active pharmaceutical ingredients, our manufacturing and supply chain for PIKTOR requires coordination across two separate drug substances, and any disruption to the supply of either component could halt our entire development program. The need to maintain parallel supply chains for two drug substances increases our operational complexity and our vulnerability to supply disruptions compared to single-agent product candidates. We may not be able to secure backup suppliers for both components on commercially reasonable terms. Any significant delay in the supply of either serabelisib or sapanisertib could considerably delay our clinical development, increase our costs, and have a material adverse effect on our business.</w:t>
      </w:r>
    </w:p>
    <w:p>
      <w:pPr>
        <w:spacing w:after="0" w:line="79" w:lineRule="exact"/>
        <w:rPr>
          <w:sz w:val="20"/>
          <w:szCs w:val="20"/>
          <w:color w:val="auto"/>
        </w:rPr>
      </w:pPr>
    </w:p>
    <w:p>
      <w:pPr>
        <w:ind w:firstLine="576"/>
        <w:spacing w:after="0" w:line="255" w:lineRule="auto"/>
        <w:rPr>
          <w:sz w:val="20"/>
          <w:szCs w:val="20"/>
          <w:color w:val="auto"/>
        </w:rPr>
      </w:pPr>
      <w:r>
        <w:rPr>
          <w:rFonts w:ascii="Times New Roman" w:cs="Times New Roman" w:eastAsia="Times New Roman" w:hAnsi="Times New Roman"/>
          <w:sz w:val="18"/>
          <w:szCs w:val="18"/>
          <w:color w:val="auto"/>
        </w:rPr>
        <w:t>We currently have no plans to build our own clinical or commercial scale manufacturing capabilities for our product candidates. Instead, we expect to rely on third parties for the manufacture of our product candidates and related raw materials for future preclinical and clinical development, as well as for commercial manufacture if any of our product candidates receive marketing approval. We have entered into arrangements with a limited number of third-party contract manufacturing organizations, or CMOs, as part of our development of our product candidates. These CMOs will provide drug substance intermediate and drug product that will be subsequently labeled, packaged and distributed to our CROs. We may also enter into agreements with additional companies for the supply of substances for use in the development of our product candidates or any future product candidates or for the manufacture of such product candidates.</w:t>
      </w:r>
    </w:p>
    <w:p>
      <w:pPr>
        <w:spacing w:after="0" w:line="81" w:lineRule="exact"/>
        <w:rPr>
          <w:sz w:val="20"/>
          <w:szCs w:val="20"/>
          <w:color w:val="auto"/>
        </w:rPr>
      </w:pPr>
    </w:p>
    <w:p>
      <w:pPr>
        <w:ind w:firstLine="576"/>
        <w:spacing w:after="0" w:line="254" w:lineRule="auto"/>
        <w:rPr>
          <w:sz w:val="20"/>
          <w:szCs w:val="20"/>
          <w:color w:val="auto"/>
        </w:rPr>
      </w:pPr>
      <w:r>
        <w:rPr>
          <w:rFonts w:ascii="Times New Roman" w:cs="Times New Roman" w:eastAsia="Times New Roman" w:hAnsi="Times New Roman"/>
          <w:sz w:val="18"/>
          <w:szCs w:val="18"/>
          <w:color w:val="auto"/>
        </w:rPr>
        <w:t>We or our third-party suppliers or manufacturers may encounter shortages in the raw materials or active pharmaceutical ingredient, or API, necessary to produce product candidates we may develop in the quantities needed for our clinical trials or, if any current or future product candidates we may develop are approved, in sufficient quantities for commercialization or to meet an increase in demand, as a result of capacity constraints or delays or disruptions in the market for the raw materials or API, including shortages caused by the purchase of such raw materials or API by our competitors or others. Even if raw materials or API are available, we may be unable to obtain sufficient quantities at an acceptable cost or quality. The need to synchronize the procurement of two APIs for our fixed combination drug product candidate PIKTOR presents additional risk since any imbalance in availability and timing of one API would prevent the manufacture of finished drug product for clinical trials or commercial use. The failure by us or our third-party suppliers or manufacturers to obtain the raw materials or API necessary to manufacture sufficient quantities of any current or future product candidates we may develop could delay, prevent or impair our development efforts and may have a material adverse effect on our business.</w:t>
      </w:r>
    </w:p>
    <w:p>
      <w:pPr>
        <w:spacing w:after="0" w:line="80" w:lineRule="exact"/>
        <w:rPr>
          <w:sz w:val="20"/>
          <w:szCs w:val="20"/>
          <w:color w:val="auto"/>
        </w:rPr>
      </w:pPr>
    </w:p>
    <w:p>
      <w:pPr>
        <w:ind w:right="320" w:firstLine="576"/>
        <w:spacing w:after="0" w:line="282" w:lineRule="auto"/>
        <w:rPr>
          <w:sz w:val="20"/>
          <w:szCs w:val="20"/>
          <w:color w:val="auto"/>
        </w:rPr>
      </w:pPr>
      <w:r>
        <w:rPr>
          <w:rFonts w:ascii="Times New Roman" w:cs="Times New Roman" w:eastAsia="Times New Roman" w:hAnsi="Times New Roman"/>
          <w:sz w:val="18"/>
          <w:szCs w:val="18"/>
          <w:color w:val="auto"/>
        </w:rPr>
        <w:t>The facilities used by third-party manufacturers to manufacture current or future product candidates must be authorized by the FDA pursuant to inspections that will be conducted after we submit a NDA to the FDA. We do not control the manufacturing process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7" w:name="page48"/>
    <w:bookmarkEnd w:id="47"/>
    <w:p>
      <w:pPr>
        <w:spacing w:after="0" w:line="255" w:lineRule="auto"/>
        <w:rPr>
          <w:sz w:val="20"/>
          <w:szCs w:val="20"/>
          <w:color w:val="auto"/>
        </w:rPr>
      </w:pPr>
      <w:r>
        <w:rPr>
          <w:rFonts w:ascii="Times New Roman" w:cs="Times New Roman" w:eastAsia="Times New Roman" w:hAnsi="Times New Roman"/>
          <w:sz w:val="18"/>
          <w:szCs w:val="18"/>
          <w:color w:val="auto"/>
        </w:rPr>
        <w:t>of, and are completely dependent on, third-party manufacturers for compliance with cGMP requirements for manufacture of drug products and other laws and regulations. If these third-party manufacturers cannot successfully manufacture material that conforms to our specifications and the strict regulatory requirements of the FDA or others, they will not be able to secure and maintain regulatory approval for their manufacturing facilities. In addition, we have no control over the ability of third-party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could significantly impact our ability to develop, obtain regulatory approval for or market our product candidates, if approved.</w:t>
      </w:r>
    </w:p>
    <w:p>
      <w:pPr>
        <w:spacing w:after="0" w:line="81" w:lineRule="exact"/>
        <w:rPr>
          <w:sz w:val="20"/>
          <w:szCs w:val="20"/>
          <w:color w:val="auto"/>
        </w:rPr>
      </w:pPr>
    </w:p>
    <w:p>
      <w:pPr>
        <w:ind w:firstLine="576"/>
        <w:spacing w:after="0" w:line="255" w:lineRule="auto"/>
        <w:rPr>
          <w:sz w:val="20"/>
          <w:szCs w:val="20"/>
          <w:color w:val="auto"/>
        </w:rPr>
      </w:pPr>
      <w:r>
        <w:rPr>
          <w:rFonts w:ascii="Times New Roman" w:cs="Times New Roman" w:eastAsia="Times New Roman" w:hAnsi="Times New Roman"/>
          <w:sz w:val="18"/>
          <w:szCs w:val="18"/>
          <w:color w:val="auto"/>
        </w:rPr>
        <w:t>Finding new CMOs or third-party suppliers involves additional cost and requires our management’s time and focus. In addition, there is typically a transition period when a new CMO commences work. Although we do not intend to begin a clinical trial unless we believe we have on hand, or will be able to obtain, a sufficient supply of our product candidates to complete the clinical trial, any significant delay in the supply of our product candidates or the raw materials needed to produce our product candidates, could considerably delay conducting our clinical trials and potential regulatory approval of any of our product candidates. Additionally, any changes implemented by a new CMO could delay completion of clinical trials, require the conduct of bridging clinical trials or studies, require the repetition of one or more clinical trials, increase clinical trial costs, delay approval of our current and future product candidates and jeopardize our ability to commence product sales and generate revenue.</w:t>
      </w:r>
    </w:p>
    <w:p>
      <w:pPr>
        <w:spacing w:after="0" w:line="81" w:lineRule="exact"/>
        <w:rPr>
          <w:sz w:val="20"/>
          <w:szCs w:val="20"/>
          <w:color w:val="auto"/>
        </w:rPr>
      </w:pPr>
    </w:p>
    <w:p>
      <w:pPr>
        <w:ind w:right="60" w:firstLine="576"/>
        <w:spacing w:after="0" w:line="252" w:lineRule="auto"/>
        <w:rPr>
          <w:sz w:val="20"/>
          <w:szCs w:val="20"/>
          <w:color w:val="auto"/>
        </w:rPr>
      </w:pPr>
      <w:r>
        <w:rPr>
          <w:rFonts w:ascii="Times New Roman" w:cs="Times New Roman" w:eastAsia="Times New Roman" w:hAnsi="Times New Roman"/>
          <w:sz w:val="18"/>
          <w:szCs w:val="18"/>
          <w:color w:val="auto"/>
        </w:rPr>
        <w:t>If any CMO with whom we contract fails to perform its obligations, we may be forced to manufacture the materials ourselves, for which we may not have the capabilities or resources, or enter into an agreement with a different CMO, which we may not be able to do on reasonable terms, if at all. In either scenario, our clinical trials or commercial supply could be delayed significantly as we establish alternative supply sources. In some cases, the technical skills required to manufacture our products or product candidates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or approved by the FDA or another regulatory authority. The delays associated with the verification of a new CMO could negatively affect our ability to develop product candidates or commercialize our products in a timely manner or within budget. Furthermore, a CMO may possess technology related to the manufacture of our product candidates that such CMO owns independently. This would increase our reliance on such CMO or require us to obtain a license from such CMO in order to have another CMO manufacture our product candidates or products. In addition, in the case of CMOs that supply our product candidates,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88" w:lineRule="exact"/>
        <w:rPr>
          <w:sz w:val="20"/>
          <w:szCs w:val="20"/>
          <w:color w:val="auto"/>
        </w:rPr>
      </w:pPr>
    </w:p>
    <w:p>
      <w:pPr>
        <w:ind w:right="20" w:firstLine="576"/>
        <w:spacing w:after="0" w:line="258" w:lineRule="auto"/>
        <w:rPr>
          <w:sz w:val="20"/>
          <w:szCs w:val="20"/>
          <w:color w:val="auto"/>
        </w:rPr>
      </w:pPr>
      <w:r>
        <w:rPr>
          <w:rFonts w:ascii="Times New Roman" w:cs="Times New Roman" w:eastAsia="Times New Roman" w:hAnsi="Times New Roman"/>
          <w:sz w:val="18"/>
          <w:szCs w:val="18"/>
          <w:color w:val="auto"/>
        </w:rPr>
        <w:t>As part of their manufacture of our product candidates, our CMO and third-party suppliers are expected to comply with and respect the intellectual property and proprietary rights of others. If our CMO or third-party supplier fails to acquire the proper licenses or otherwise infringes, misappropriates or otherwise violates the intellectual property or proprietary rights of others in the course of providing services to us, we may have to find alternative CMOs or third-party suppliers or defend against applicable claims, either of which could significantly impact our ability to develop, obtain regulatory approval for or commercialize our product candidates, if approved.</w:t>
      </w:r>
    </w:p>
    <w:p>
      <w:pPr>
        <w:spacing w:after="0" w:line="75" w:lineRule="exact"/>
        <w:rPr>
          <w:sz w:val="20"/>
          <w:szCs w:val="20"/>
          <w:color w:val="auto"/>
        </w:rPr>
      </w:pPr>
    </w:p>
    <w:p>
      <w:pPr>
        <w:ind w:right="200" w:firstLine="576"/>
        <w:spacing w:after="0" w:line="261" w:lineRule="auto"/>
        <w:rPr>
          <w:sz w:val="20"/>
          <w:szCs w:val="20"/>
          <w:color w:val="auto"/>
        </w:rPr>
      </w:pPr>
      <w:r>
        <w:rPr>
          <w:rFonts w:ascii="Times New Roman" w:cs="Times New Roman" w:eastAsia="Times New Roman" w:hAnsi="Times New Roman"/>
          <w:sz w:val="18"/>
          <w:szCs w:val="18"/>
          <w:color w:val="auto"/>
        </w:rPr>
        <w:t>Our failure, or the failure of our third-party manufacturers, to comply with applicable regulations could result in sanctions being imposed on us, including clinical holds, fines, injunctions, civil penalties, delays, suspension or withdrawal of approvals, seizures or recalls of product candidates or products, operating restrictions and criminal prosecutions, any of which could significantly and adversely affect supplies of our products. In addition, we may be unable to establish any agreements with third-party manufacturers or to do so on acceptable terms.</w:t>
      </w:r>
    </w:p>
    <w:p>
      <w:pPr>
        <w:spacing w:after="0" w:line="7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Even if we are able to establish agreements with third-party manufacturers, reliance on third-party manufacturers entails additional risks, including:</w:t>
      </w:r>
    </w:p>
    <w:p>
      <w:pPr>
        <w:spacing w:after="0" w:line="117" w:lineRule="exact"/>
        <w:rPr>
          <w:sz w:val="20"/>
          <w:szCs w:val="20"/>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third-party manufacturers to comply with regulatory requirements and maintain quality assurance;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the manufacturing agreement by the third party;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manufacture our product according to our specifications;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manufacture our product according to our schedule or at all;</w:t>
      </w:r>
    </w:p>
    <w:p>
      <w:pPr>
        <w:spacing w:after="0" w:line="117" w:lineRule="exact"/>
        <w:rPr>
          <w:rFonts w:ascii="Times New Roman" w:cs="Times New Roman" w:eastAsia="Times New Roman" w:hAnsi="Times New Roman"/>
          <w:sz w:val="18"/>
          <w:szCs w:val="18"/>
          <w:color w:val="auto"/>
        </w:rPr>
      </w:pPr>
    </w:p>
    <w:p>
      <w:pPr>
        <w:ind w:left="760" w:right="320" w:hanging="378"/>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difficulties caused by unforeseen events that may delay the availability of one or more of the necessary raw materials or delay the manufacture of any current or future product candidates for use in clinical trials or for commercial supply;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8" w:name="page49"/>
    <w:bookmarkEnd w:id="48"/>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misappropriation of our proprietary information, including our trade secrets and know-how;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the agreement by the third party at a time that is costly or inconvenient for us.</w:t>
      </w:r>
    </w:p>
    <w:p>
      <w:pPr>
        <w:spacing w:after="0" w:line="117" w:lineRule="exact"/>
        <w:rPr>
          <w:sz w:val="20"/>
          <w:szCs w:val="20"/>
          <w:color w:val="auto"/>
        </w:rPr>
      </w:pPr>
    </w:p>
    <w:p>
      <w:pPr>
        <w:ind w:right="140" w:firstLine="576"/>
        <w:spacing w:after="0" w:line="256" w:lineRule="auto"/>
        <w:rPr>
          <w:sz w:val="20"/>
          <w:szCs w:val="20"/>
          <w:color w:val="auto"/>
        </w:rPr>
      </w:pPr>
      <w:r>
        <w:rPr>
          <w:rFonts w:ascii="Times New Roman" w:cs="Times New Roman" w:eastAsia="Times New Roman" w:hAnsi="Times New Roman"/>
          <w:sz w:val="18"/>
          <w:szCs w:val="18"/>
          <w:color w:val="auto"/>
        </w:rPr>
        <w:t>Any product candidates that we may develop may compete with other product candidates and products for access to manufacturing facilities. Any performance failure on the part of our existing or future manufacturers could delay clinical development or marketing approval, and any related remedial measures may be costly or time-consuming to implement. We do not currently have arrangements in place for redundant supply or second sources of supply with alternative suppliers or CMOs to supplement or supply the raw materials, drug substances, intermediates, and drug product necessary for the manufacture of our product candidates, including PIKTOR. If our current third-party CMO cannot perform as agreed, we may be required to replace such manufacturer and we may be unable to replace them on a timely basis or at all.</w:t>
      </w:r>
    </w:p>
    <w:p>
      <w:pPr>
        <w:spacing w:after="0" w:line="7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rely on a limited number of suppliers for the raw materials used in our drug candidates, any delay, shortage or interruption in the supply of such raw materials or contamination in our manufacturing process could lead to delays in the manufacture and supply of our drug candidates.</w:t>
      </w:r>
    </w:p>
    <w:p>
      <w:pPr>
        <w:spacing w:after="0" w:line="51" w:lineRule="exact"/>
        <w:rPr>
          <w:sz w:val="20"/>
          <w:szCs w:val="20"/>
          <w:color w:val="auto"/>
        </w:rPr>
      </w:pPr>
    </w:p>
    <w:p>
      <w:pPr>
        <w:ind w:right="20" w:firstLine="576"/>
        <w:spacing w:after="0" w:line="253" w:lineRule="auto"/>
        <w:rPr>
          <w:sz w:val="20"/>
          <w:szCs w:val="20"/>
          <w:color w:val="auto"/>
        </w:rPr>
      </w:pPr>
      <w:r>
        <w:rPr>
          <w:rFonts w:ascii="Times New Roman" w:cs="Times New Roman" w:eastAsia="Times New Roman" w:hAnsi="Times New Roman"/>
          <w:sz w:val="18"/>
          <w:szCs w:val="18"/>
          <w:color w:val="auto"/>
        </w:rPr>
        <w:t>We rely on third-parties to supply certain raw materials necessary to produce our drug candidates for preclinical studies and clinical trials. For example, we rely on third-parties to supply certain reagents, which are substances used in our manufacturing processes to bring about chemical or biological reactions, and other specialty materials and equipment, some of which are manufactured or supplied by small companies with limited resources. There are a small number of suppliers for certain raw materials that we use to manufacture our drug candidates. Certain of our suppliers or their sub-suppliers are based in China, which exposes us to additional risks including trade restrictions, tariffs, export controls, geopolitical tensions, and potential disruptions to the supply chain that are beyond our control. We work with our CMOs to purchase these materials from our suppliers who may not always have long-term supply agreements in place, which could expose us to a variety of risks, including a potential inability to obtain critical materials and reduced control over production costs, delivery schedules, reliability and quality. Any unanticipated disruption to our contract manufacturing caused by problems at suppliers could delay shipment of our product candidates, increase our cost of goods sold and result in lost sales with respect to any approved products. Any significant delay in the supply of raw materials for our drug candidates for a preclinical study or a clinical trial due to the need to replace a third-party supplier could considerably delay completion of certain preclinical studies and/or clinical trials. Moreover, if we are unable to purchase sufficient raw materials after regulatory approval for our drug candidates, the commercial launch of our drug candidates could be delayed, or there could be a supply shortage, each of which could impair our ability to generate revenues from their sale.</w:t>
      </w:r>
    </w:p>
    <w:p>
      <w:pPr>
        <w:spacing w:after="0" w:line="79" w:lineRule="exact"/>
        <w:rPr>
          <w:sz w:val="20"/>
          <w:szCs w:val="20"/>
          <w:color w:val="auto"/>
        </w:rPr>
      </w:pPr>
    </w:p>
    <w:p>
      <w:pPr>
        <w:ind w:right="120" w:firstLine="576"/>
        <w:spacing w:after="0" w:line="261" w:lineRule="auto"/>
        <w:rPr>
          <w:sz w:val="20"/>
          <w:szCs w:val="20"/>
          <w:color w:val="auto"/>
        </w:rPr>
      </w:pPr>
      <w:r>
        <w:rPr>
          <w:rFonts w:ascii="Times New Roman" w:cs="Times New Roman" w:eastAsia="Times New Roman" w:hAnsi="Times New Roman"/>
          <w:sz w:val="18"/>
          <w:szCs w:val="18"/>
          <w:color w:val="auto"/>
        </w:rPr>
        <w:t>In addition, a material shortage, contamination, recall or restriction on the use of substances in the manufacture of our drug candidates, or the failure of any of our key suppliers to deliver necessary components required for the manufacture of our drug candidates, could adversely impact or disrupt the commercial manufacture or the production of clinical material, which could materially and adversely affect our development timelines and our business, financial condition, results of operations, and future prospects.</w:t>
      </w:r>
    </w:p>
    <w:p>
      <w:pPr>
        <w:spacing w:after="0" w:line="6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CROs and consultants may engage in misconduct or other improper activities, including non-compliance with regulatory standards and requirements.</w:t>
      </w:r>
    </w:p>
    <w:p>
      <w:pPr>
        <w:spacing w:after="0" w:line="51" w:lineRule="exact"/>
        <w:rPr>
          <w:sz w:val="20"/>
          <w:szCs w:val="20"/>
          <w:color w:val="auto"/>
        </w:rPr>
      </w:pPr>
    </w:p>
    <w:p>
      <w:pPr>
        <w:ind w:firstLine="576"/>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of our Product Candidates and Other Legal Compliance Matters</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9" w:name="page50"/>
    <w:bookmarkEnd w:id="49"/>
    <w:p>
      <w:pPr>
        <w:jc w:val="both"/>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51" w:lineRule="exact"/>
        <w:rPr>
          <w:sz w:val="20"/>
          <w:szCs w:val="20"/>
          <w:color w:val="auto"/>
        </w:rPr>
      </w:pPr>
    </w:p>
    <w:p>
      <w:pPr>
        <w:ind w:right="20" w:firstLine="576"/>
        <w:spacing w:after="0" w:line="253"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authorities in other countries. Before we can commercialize any of our product candidates, we must obtain marketing approval. Currently, all of our product candidates are in development, and we have not received approval to market any of our product candidates from regulatory authorities in any jurisdiction. It is possible that our product candidates, including any product candidates we may seek to develop in the future, will never obtain regulatory approval. Whether the results from our clinical trials will suffice to obtain approval will be a review issue and the FDA may not grant approval and may require that we conduct one or more controlled clinical trials to obtain approval. Additionally, even if FDA does grant approval for one or more of our product candidates, it may be for a more narrow indication than we seek. Regulatory authorities, including the FDA, also may impose significant limitations in the form of narrow indications, warnings or a REMS. These regulatory authorities may require labeling that includes precautions or contra-indications with respect to conditions of use, or they may grant approval subject to the performance of costly post-marketing clinical trials. In addition, regulatory authorities may not approve the labeling claims that are necessary or desirable for the successful commercialization of any product candidates we may develop.</w:t>
      </w:r>
    </w:p>
    <w:p>
      <w:pPr>
        <w:spacing w:after="0" w:line="82" w:lineRule="exact"/>
        <w:rPr>
          <w:sz w:val="20"/>
          <w:szCs w:val="20"/>
          <w:color w:val="auto"/>
        </w:rPr>
      </w:pPr>
    </w:p>
    <w:p>
      <w:pPr>
        <w:ind w:firstLine="576"/>
        <w:spacing w:after="0" w:line="254" w:lineRule="auto"/>
        <w:rPr>
          <w:sz w:val="20"/>
          <w:szCs w:val="20"/>
          <w:color w:val="auto"/>
        </w:rPr>
      </w:pPr>
      <w:r>
        <w:rPr>
          <w:rFonts w:ascii="Times New Roman" w:cs="Times New Roman" w:eastAsia="Times New Roman" w:hAnsi="Times New Roman"/>
          <w:sz w:val="18"/>
          <w:szCs w:val="18"/>
          <w:color w:val="auto"/>
        </w:rPr>
        <w:t>We have only limited experience in filing and supporting the applications necessary to gain regulatory approvals and expect to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Our product candidates may not be effective, may be only moderately effective or may prove to have undesirable or unintended side effects, toxicities or other characteristics that may preclude our obtaining marketing approval or prevent or limit commercial use. In addition, regulatory authorities may find fault with our manufacturing process or facilities or that of third-party contract manufacturers. We may also face greater than expected difficulty in manufacturing our product candidates.</w:t>
      </w:r>
    </w:p>
    <w:p>
      <w:pPr>
        <w:spacing w:after="0" w:line="84" w:lineRule="exact"/>
        <w:rPr>
          <w:sz w:val="20"/>
          <w:szCs w:val="20"/>
          <w:color w:val="auto"/>
        </w:rPr>
      </w:pPr>
    </w:p>
    <w:p>
      <w:pPr>
        <w:ind w:right="60" w:firstLine="576"/>
        <w:spacing w:after="0" w:line="254" w:lineRule="auto"/>
        <w:rPr>
          <w:sz w:val="20"/>
          <w:szCs w:val="20"/>
          <w:color w:val="auto"/>
        </w:rPr>
      </w:pPr>
      <w:r>
        <w:rPr>
          <w:rFonts w:ascii="Times New Roman" w:cs="Times New Roman" w:eastAsia="Times New Roman" w:hAnsi="Times New Roman"/>
          <w:sz w:val="18"/>
          <w:szCs w:val="18"/>
          <w:color w:val="auto"/>
        </w:rPr>
        <w:t>The process of obtaining regulatory approvals, both in the United States and abroad, is expensive and often takes many years. If the FDA or a comparable foreign regulatory authority requires that we perform additional preclinical studies or clinical trials, approval, if obtained at all, may be delayed. The length of such a delay varies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NDA, premarket approval application, or equivalent application types,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Our product candidates could be delayed in receiving, or fail to receive, regulatory approval for many reasons, including the following:</w:t>
      </w:r>
    </w:p>
    <w:p>
      <w:pPr>
        <w:spacing w:after="0" w:line="84" w:lineRule="exact"/>
        <w:rPr>
          <w:sz w:val="20"/>
          <w:szCs w:val="20"/>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preclinical studies or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enroll a sufficient number of patients in our clinical studies;</w:t>
      </w:r>
    </w:p>
    <w:p>
      <w:pPr>
        <w:spacing w:after="0" w:line="117" w:lineRule="exact"/>
        <w:rPr>
          <w:rFonts w:ascii="Times New Roman" w:cs="Times New Roman" w:eastAsia="Times New Roman" w:hAnsi="Times New Roman"/>
          <w:sz w:val="18"/>
          <w:szCs w:val="18"/>
          <w:color w:val="auto"/>
        </w:rPr>
      </w:pPr>
    </w:p>
    <w:p>
      <w:pPr>
        <w:ind w:left="760" w:right="60" w:hanging="378"/>
        <w:spacing w:after="0" w:line="28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and effective for its proposed indication or a related companion diagnostic is suitable to identify appropriate patient populations;</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an NDA or other submission or to obtain regulatory approval in the United States or elsewhere;</w:t>
      </w:r>
    </w:p>
    <w:p>
      <w:pPr>
        <w:spacing w:after="0" w:line="53" w:lineRule="exact"/>
        <w:rPr>
          <w:rFonts w:ascii="Times New Roman" w:cs="Times New Roman" w:eastAsia="Times New Roman" w:hAnsi="Times New Roman"/>
          <w:sz w:val="18"/>
          <w:szCs w:val="18"/>
          <w:color w:val="auto"/>
        </w:rPr>
      </w:pPr>
    </w:p>
    <w:p>
      <w:pPr>
        <w:ind w:left="760" w:right="220" w:hanging="378"/>
        <w:spacing w:after="0" w:line="28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find deficiencies with or fail to approve the manufacturing processes or facilities of third-party manufacturers with which we contract for clinical and commercial supplies; and</w:t>
      </w:r>
    </w:p>
    <w:p>
      <w:pPr>
        <w:spacing w:after="0" w:line="53" w:lineRule="exact"/>
        <w:rPr>
          <w:rFonts w:ascii="Times New Roman" w:cs="Times New Roman" w:eastAsia="Times New Roman" w:hAnsi="Times New Roman"/>
          <w:sz w:val="18"/>
          <w:szCs w:val="18"/>
          <w:color w:val="auto"/>
        </w:rPr>
      </w:pPr>
    </w:p>
    <w:p>
      <w:pPr>
        <w:ind w:left="760" w:right="80" w:hanging="378"/>
        <w:spacing w:after="0" w:line="28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such that our clinical data are insufficient for approval.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50" w:name="page51"/>
    <w:bookmarkEnd w:id="50"/>
    <w:p>
      <w:pPr>
        <w:ind w:right="20" w:firstLine="576"/>
        <w:spacing w:after="0" w:line="258" w:lineRule="auto"/>
        <w:rPr>
          <w:sz w:val="20"/>
          <w:szCs w:val="20"/>
          <w:color w:val="auto"/>
        </w:rPr>
      </w:pPr>
      <w:r>
        <w:rPr>
          <w:rFonts w:ascii="Times New Roman" w:cs="Times New Roman" w:eastAsia="Times New Roman" w:hAnsi="Times New Roman"/>
          <w:sz w:val="18"/>
          <w:szCs w:val="18"/>
          <w:color w:val="auto"/>
        </w:rPr>
        <w:t>Even if we were to obtain approval, regulatory authorities may approve any of our product candidates for fewer or more limited indications than we request, thereby narrowing the commercial potential of the product candidate. In addition,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75" w:lineRule="exact"/>
        <w:rPr>
          <w:sz w:val="20"/>
          <w:szCs w:val="20"/>
          <w:color w:val="auto"/>
        </w:rPr>
      </w:pPr>
    </w:p>
    <w:p>
      <w:pPr>
        <w:ind w:right="180" w:firstLine="576"/>
        <w:spacing w:after="0" w:line="282"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5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product candidates in one jurisdiction does not guarantee that we will be successful in obtaining regulatory approval of our product candidates in other jurisdictions.</w:t>
      </w:r>
    </w:p>
    <w:p>
      <w:pPr>
        <w:spacing w:after="0" w:line="51" w:lineRule="exact"/>
        <w:rPr>
          <w:sz w:val="20"/>
          <w:szCs w:val="20"/>
          <w:color w:val="auto"/>
        </w:rPr>
      </w:pPr>
    </w:p>
    <w:p>
      <w:pPr>
        <w:ind w:firstLine="576"/>
        <w:spacing w:after="0" w:line="258" w:lineRule="auto"/>
        <w:rPr>
          <w:sz w:val="20"/>
          <w:szCs w:val="20"/>
          <w:color w:val="auto"/>
        </w:rPr>
      </w:pPr>
      <w:r>
        <w:rPr>
          <w:rFonts w:ascii="Times New Roman" w:cs="Times New Roman" w:eastAsia="Times New Roman" w:hAnsi="Times New Roman"/>
          <w:sz w:val="18"/>
          <w:szCs w:val="18"/>
          <w:color w:val="auto"/>
        </w:rPr>
        <w:t>We may submit marketing applications in countries other than the United States.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75" w:lineRule="exact"/>
        <w:rPr>
          <w:sz w:val="20"/>
          <w:szCs w:val="20"/>
          <w:color w:val="auto"/>
        </w:rPr>
      </w:pPr>
    </w:p>
    <w:p>
      <w:pPr>
        <w:ind w:right="40" w:firstLine="576"/>
        <w:spacing w:after="0" w:line="254" w:lineRule="auto"/>
        <w:rPr>
          <w:sz w:val="20"/>
          <w:szCs w:val="20"/>
          <w:color w:val="auto"/>
        </w:rPr>
      </w:pPr>
      <w:r>
        <w:rPr>
          <w:rFonts w:ascii="Times New Roman" w:cs="Times New Roman" w:eastAsia="Times New Roman" w:hAnsi="Times New Roman"/>
          <w:sz w:val="18"/>
          <w:szCs w:val="18"/>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nonclinical studies or clinical trials as clinical trials conducted in one jurisdiction may not be accepted by regulatory authorities in other jurisdictions. In short, the foreign regulatory approval process involves all of the risks associated with FDA approval. In many jurisdictions outside the United States, a product candidate must be approved for reimbursement before it can be approved for sale in that jurisdiction. In some cases, the price that we may intend to charge for our products will also be subject to approval.</w:t>
      </w:r>
    </w:p>
    <w:p>
      <w:pPr>
        <w:spacing w:after="0" w:line="76"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post-market study requirements, marketing and labeling restrictions, and even recall or market withdrawal if unanticipated safety issues are discovered following approval. In addition, we may be subject to penalties or other enforcement action if we fail to comply with regulatory requirements.</w:t>
      </w:r>
    </w:p>
    <w:p>
      <w:pPr>
        <w:spacing w:after="0" w:line="72" w:lineRule="exact"/>
        <w:rPr>
          <w:sz w:val="20"/>
          <w:szCs w:val="20"/>
          <w:color w:val="auto"/>
        </w:rPr>
      </w:pPr>
    </w:p>
    <w:p>
      <w:pPr>
        <w:ind w:right="60" w:firstLine="576"/>
        <w:spacing w:after="0" w:line="255" w:lineRule="auto"/>
        <w:rPr>
          <w:sz w:val="20"/>
          <w:szCs w:val="20"/>
          <w:color w:val="auto"/>
        </w:rPr>
      </w:pPr>
      <w:r>
        <w:rPr>
          <w:rFonts w:ascii="Times New Roman" w:cs="Times New Roman" w:eastAsia="Times New Roman" w:hAnsi="Times New Roman"/>
          <w:sz w:val="18"/>
          <w:szCs w:val="18"/>
          <w:color w:val="auto"/>
        </w:rPr>
        <w:t>If the FDA or a comparable foreign regulatory authority approves any of our product candidates, the manufacturing processes, labeling, packaging, distribution, storage, advertising, promotion, import, export, recordkeeping, monitoring, and reporting for our product will be subject to extensive and ongoing regulatory requirements. These requirements include submissions of safety and other post-marketing information and reports, establishment registration and listing, as well as continued compliance with cGMPs and GCPs for any clinical trials that we conduct post-approval. Any regulatory approvals that we receive for our product candidates may also be subject to limitations on the approved indicated uses for which the product may be marketed or to the conditions of approval, or contain requirements for potentially costly post-marketing studies, including Phase 4 clinical trials, and surveillance to monitor the safety and efficacy of the product.</w:t>
      </w:r>
    </w:p>
    <w:p>
      <w:pPr>
        <w:spacing w:after="0" w:line="81" w:lineRule="exact"/>
        <w:rPr>
          <w:sz w:val="20"/>
          <w:szCs w:val="20"/>
          <w:color w:val="auto"/>
        </w:rPr>
      </w:pPr>
    </w:p>
    <w:p>
      <w:pPr>
        <w:ind w:right="100" w:firstLine="576"/>
        <w:spacing w:after="0" w:line="261" w:lineRule="auto"/>
        <w:rPr>
          <w:sz w:val="20"/>
          <w:szCs w:val="20"/>
          <w:color w:val="auto"/>
        </w:rPr>
      </w:pPr>
      <w:r>
        <w:rPr>
          <w:rFonts w:ascii="Times New Roman" w:cs="Times New Roman" w:eastAsia="Times New Roman" w:hAnsi="Times New Roman"/>
          <w:sz w:val="18"/>
          <w:szCs w:val="18"/>
          <w:color w:val="auto"/>
        </w:rPr>
        <w:t>The FDA may require a REMS in order to approve our product candidates, which could entail requirements for a medication guide, physician communication plans or additional elements to ensure safe use, such as restricted distribution methods, patient registries and other risk minimization tools.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72" w:lineRule="exact"/>
        <w:rPr>
          <w:sz w:val="20"/>
          <w:szCs w:val="20"/>
          <w:color w:val="auto"/>
        </w:rPr>
      </w:pPr>
    </w:p>
    <w:p>
      <w:pPr>
        <w:ind w:left="760" w:right="34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withdrawal of the product from the market, or voluntary or mandatory product recalls;</w:t>
      </w:r>
    </w:p>
    <w:p>
      <w:pPr>
        <w:spacing w:after="0" w:line="53" w:lineRule="exact"/>
        <w:rPr>
          <w:rFonts w:ascii="Times New Roman" w:cs="Times New Roman" w:eastAsia="Times New Roman" w:hAnsi="Times New Roman"/>
          <w:sz w:val="18"/>
          <w:szCs w:val="18"/>
          <w:color w:val="auto"/>
        </w:rPr>
      </w:pPr>
    </w:p>
    <w:p>
      <w:pPr>
        <w:ind w:left="760" w:right="78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revision to the labeling, including limitations on approved uses or the addition of additional warnings, contraindications or other safety information, including boxed warnings;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REMS, which may include distribution or use restrictions;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additional post-market clinical trials to assess the safety of the product;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other regulatory enforcement action;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1" w:name="page52"/>
    <w:bookmarkEnd w:id="51"/>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17" w:lineRule="exact"/>
        <w:rPr>
          <w:sz w:val="20"/>
          <w:szCs w:val="20"/>
          <w:color w:val="auto"/>
        </w:rPr>
      </w:pPr>
    </w:p>
    <w:p>
      <w:pPr>
        <w:ind w:firstLine="576"/>
        <w:spacing w:after="0" w:line="261"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could adversely affect our business, prospects and ability to achieve or sustain profitability.</w:t>
      </w:r>
    </w:p>
    <w:p>
      <w:pPr>
        <w:spacing w:after="0" w:line="68"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validate, develop and obtain regulatory approval for any required companion diagnostic tests for our product candidates or experience significant delays in doing so, we may fail to obtain approval or may not realize the full commercial potential of these product candidates.</w:t>
      </w:r>
    </w:p>
    <w:p>
      <w:pPr>
        <w:spacing w:after="0" w:line="67" w:lineRule="exact"/>
        <w:rPr>
          <w:sz w:val="20"/>
          <w:szCs w:val="20"/>
          <w:color w:val="auto"/>
        </w:rPr>
      </w:pPr>
    </w:p>
    <w:p>
      <w:pPr>
        <w:ind w:firstLine="576"/>
        <w:spacing w:after="0" w:line="256" w:lineRule="auto"/>
        <w:rPr>
          <w:sz w:val="20"/>
          <w:szCs w:val="20"/>
          <w:color w:val="auto"/>
        </w:rPr>
      </w:pPr>
      <w:r>
        <w:rPr>
          <w:rFonts w:ascii="Times New Roman" w:cs="Times New Roman" w:eastAsia="Times New Roman" w:hAnsi="Times New Roman"/>
          <w:sz w:val="18"/>
          <w:szCs w:val="18"/>
          <w:color w:val="auto"/>
        </w:rPr>
        <w:t>In connection with the clinical development of our product candidates for certain indications, we may develop or engage third parties to develop or obtain access to in vitro companion diagnostic tests to identify patient subsets within a disease category who may derive benefit from our product candidates. Such companion diagnostics may be used during our clinical trials and may be required in connection with the FDA approval of our product candidates. To be successful, we or our collaborators will need to address a number of scientific, technical, regulatory and logistical challenges. Companion diagnostics are subject to regulation by the FDA, EMA and other regulatory authorities as medical devices and require separate regulatory approval prior to commercialization.</w:t>
      </w:r>
    </w:p>
    <w:p>
      <w:pPr>
        <w:spacing w:after="0" w:line="79" w:lineRule="exact"/>
        <w:rPr>
          <w:sz w:val="20"/>
          <w:szCs w:val="20"/>
          <w:color w:val="auto"/>
        </w:rPr>
      </w:pPr>
    </w:p>
    <w:p>
      <w:pPr>
        <w:ind w:firstLine="576"/>
        <w:spacing w:after="0" w:line="252" w:lineRule="auto"/>
        <w:rPr>
          <w:sz w:val="20"/>
          <w:szCs w:val="20"/>
          <w:color w:val="auto"/>
        </w:rPr>
      </w:pPr>
      <w:r>
        <w:rPr>
          <w:rFonts w:ascii="Times New Roman" w:cs="Times New Roman" w:eastAsia="Times New Roman" w:hAnsi="Times New Roman"/>
          <w:sz w:val="18"/>
          <w:szCs w:val="18"/>
          <w:color w:val="auto"/>
        </w:rPr>
        <w:t>We may rely on third parties for the design, development and manufacture of companion diagnostic tests for our therapeutic product candidates that may require such tests. If we enter into such collaborative agreements, we will be dependent on the sustained cooperation and effort of our future collaborators in developing and obtaining approval for these companion diagnostics. We and our future collaborators may encounter difficulties in developing and obtaining approval for the companion diagnostics, including issues relating to selectivity/specificity, analytical validation, reproducibility, or clinical validation of companion diagnostics. We and our future collaborators also may encounter difficulties in developing, obtaining regulatory approval for, manufacturing and commercializing companion diagnostics similar to those we face with respect to our therapeutic product candidates themselves, including issues with achieving regulatory clearance or approval, production of sufficient quantities at commercial scale and with appropriate quality standards, and in gaining market acceptance. If we are unable to successfully develop companion diagnostics for these therapeutic product candidates, or experience delays in doing so, the development of these therapeutic product candidates may be adversely affected, these therapeutic product candidates may not obtain marketing approval or such approval may be delayed, and we may not realize the full commercial potential of any of these therapeutics that obtain marketing approval. As a result, our business, results of operations and financial condition could be materially harmed. In addition, a diagnostic company with whom we contract may decide to discontinue developing, selling or manufacturing the companion diagnostic test that we anticipate using in connection with development and commercialization of our product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product candidates or do so on commercially reasonable terms, which could adversely affect and/or delay the development or commercialization of our therapeutic product candidates.</w:t>
      </w:r>
    </w:p>
    <w:p>
      <w:pPr>
        <w:spacing w:after="0" w:line="83"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healthcare professionals, and third-party payors will be subject to applicable anti-kickback, fraud and abuse and other healthcare laws and regulations, which could expose us to significant penalties, including criminal sanctions, administrative civil penalties, exclusion from government healthcare programs, contractual damages, reputational harm and diminished profits and future earnings.</w:t>
      </w:r>
    </w:p>
    <w:p>
      <w:pPr>
        <w:spacing w:after="0" w:line="67" w:lineRule="exact"/>
        <w:rPr>
          <w:sz w:val="20"/>
          <w:szCs w:val="20"/>
          <w:color w:val="auto"/>
        </w:rPr>
      </w:pPr>
    </w:p>
    <w:p>
      <w:pPr>
        <w:ind w:right="200" w:firstLine="576"/>
        <w:spacing w:after="0" w:line="254" w:lineRule="auto"/>
        <w:rPr>
          <w:sz w:val="20"/>
          <w:szCs w:val="20"/>
          <w:color w:val="auto"/>
        </w:rPr>
      </w:pPr>
      <w:r>
        <w:rPr>
          <w:rFonts w:ascii="Times New Roman" w:cs="Times New Roman" w:eastAsia="Times New Roman" w:hAnsi="Times New Roman"/>
          <w:sz w:val="18"/>
          <w:szCs w:val="18"/>
          <w:color w:val="auto"/>
        </w:rPr>
        <w:t>Our current and future business operations and activities may subject us to additional healthcare statutory and regulatory requirements and enforcement by the federal government and the states and foreign governments in which we conduct our business. Healthcare providers and third-party payors play a primary role in the recommendation and prescription of any product candidates for which we obtain marketing approval. Our current and future arrangements with healthcare professionals, third-party payors and customers may expose us to broadly applicable fraud and abuse and other healthcare laws and regulations that may constrain the business or financial arrangements and relationships through which we research as well as market, sell and distribute our product candidates for which we obtain marketing approval. These laws and regulations may restrict or prohibit a wide range of ownership, pricing, discounting, marketing and promotion, structuring and commission(s), certain customer incentive programs and other business arrangements generally. Restrictions under applicable federal and state healthcare laws and regulations, include the following:</w:t>
      </w:r>
    </w:p>
    <w:p>
      <w:pPr>
        <w:spacing w:after="0" w:line="84" w:lineRule="exact"/>
        <w:rPr>
          <w:sz w:val="20"/>
          <w:szCs w:val="20"/>
          <w:color w:val="auto"/>
        </w:rPr>
      </w:pPr>
    </w:p>
    <w:p>
      <w:pPr>
        <w:ind w:left="760" w:hanging="378"/>
        <w:spacing w:after="0" w:line="258"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and entities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The Anti-Kickback Statute has been interpreted to apply to arrangements between pharmaceutical manufacturers, on the one hand, and prescribers, purchasers and formulary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2" w:name="page53"/>
    <w:bookmarkEnd w:id="52"/>
    <w:p>
      <w:pPr>
        <w:ind w:left="760" w:right="260"/>
        <w:spacing w:after="0" w:line="282" w:lineRule="auto"/>
        <w:rPr>
          <w:sz w:val="20"/>
          <w:szCs w:val="20"/>
          <w:color w:val="auto"/>
        </w:rPr>
      </w:pPr>
      <w:r>
        <w:rPr>
          <w:rFonts w:ascii="Times New Roman" w:cs="Times New Roman" w:eastAsia="Times New Roman" w:hAnsi="Times New Roman"/>
          <w:sz w:val="18"/>
          <w:szCs w:val="18"/>
          <w:color w:val="auto"/>
        </w:rPr>
        <w:t>managers, on the other. A person or entity does not need to have actual knowledge of the statute or specific intent to violate it in order to have committed a violation;</w:t>
      </w:r>
    </w:p>
    <w:p>
      <w:pPr>
        <w:spacing w:after="0" w:line="54" w:lineRule="exact"/>
        <w:rPr>
          <w:sz w:val="20"/>
          <w:szCs w:val="20"/>
          <w:color w:val="auto"/>
        </w:rPr>
      </w:pPr>
    </w:p>
    <w:p>
      <w:pPr>
        <w:ind w:left="760" w:right="20" w:hanging="378"/>
        <w:spacing w:after="0" w:line="258"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including the federal FCA, which can be enforced through civil whistleblower or qui tam actions, and civil monetary penalties laws, which impose criminal and civil penalties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FCA;</w:t>
      </w:r>
    </w:p>
    <w:p>
      <w:pPr>
        <w:spacing w:after="0" w:line="75" w:lineRule="exact"/>
        <w:rPr>
          <w:rFonts w:ascii="Times New Roman" w:cs="Times New Roman" w:eastAsia="Times New Roman" w:hAnsi="Times New Roman"/>
          <w:sz w:val="18"/>
          <w:szCs w:val="18"/>
          <w:color w:val="auto"/>
        </w:rPr>
      </w:pPr>
    </w:p>
    <w:p>
      <w:pPr>
        <w:ind w:left="760" w:right="140" w:hanging="378"/>
        <w:spacing w:after="0" w:line="261"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imposes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71" w:lineRule="exact"/>
        <w:rPr>
          <w:rFonts w:ascii="Times New Roman" w:cs="Times New Roman" w:eastAsia="Times New Roman" w:hAnsi="Times New Roman"/>
          <w:sz w:val="18"/>
          <w:szCs w:val="18"/>
          <w:color w:val="auto"/>
        </w:rPr>
      </w:pPr>
    </w:p>
    <w:p>
      <w:pPr>
        <w:ind w:left="760" w:hanging="378"/>
        <w:spacing w:after="0" w:line="256"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 transparency requirements, sometimes referred to as the “Sunshine Act” under the ACA, require certain manufacturers of drugs, devices, biologics and medical supplies that are reimbursable under Medicare, Medicaid, or the Children’s Health Insurance Program to report to the Centers for Medicare &amp; Medicaid Services, or CMS, information related to transfers of value made to physicians (currently defined to include doctors, dentists, optometrists, podiatrists and chiropractors), other healthcare professionals (such as nurse practitioners and physicians assistants), and teaching hospitals, as well as information regarding ownership and investment interests of such physicians and their immediate family members;</w:t>
      </w:r>
    </w:p>
    <w:p>
      <w:pPr>
        <w:spacing w:after="0" w:line="79" w:lineRule="exact"/>
        <w:rPr>
          <w:rFonts w:ascii="Times New Roman" w:cs="Times New Roman" w:eastAsia="Times New Roman" w:hAnsi="Times New Roman"/>
          <w:sz w:val="18"/>
          <w:szCs w:val="18"/>
          <w:color w:val="auto"/>
        </w:rPr>
      </w:pPr>
    </w:p>
    <w:p>
      <w:pPr>
        <w:ind w:left="760" w:right="200" w:hanging="378"/>
        <w:spacing w:after="0" w:line="255"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HITECH and its implementing regulations, impose obligations on certain covered entity healthcare providers, health plans, and healthcare clearinghouses and their business associates that perform certain services involving the use or disclosure of individually identifiable health information as well as their covered subcontractors, including mandatory contractual terms, with respect to safeguarding the privacy, security and transmission of individually identifiable health information; and</w:t>
      </w:r>
    </w:p>
    <w:p>
      <w:pPr>
        <w:spacing w:after="0" w:line="2" w:lineRule="exact"/>
        <w:rPr>
          <w:rFonts w:ascii="Times New Roman" w:cs="Times New Roman" w:eastAsia="Times New Roman" w:hAnsi="Times New Roman"/>
          <w:sz w:val="18"/>
          <w:szCs w:val="18"/>
          <w:color w:val="auto"/>
        </w:rPr>
      </w:pPr>
    </w:p>
    <w:p>
      <w:pPr>
        <w:ind w:left="760" w:right="80" w:hanging="378"/>
        <w:spacing w:after="0" w:line="251"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such as state anti-kickback and false claims laws may apply to sales or marketing arrangements and claims involving healthcare items or services reimbursed by non-governmental third-party payors, including private insurers.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Some state and local laws require certain regulatory licenses to manufacture or distribute our products commercially and/or the registration of pharmaceutical sales representatives. Further, many state laws governing the privacy and security of health information in certain circumstances, differ from each other in significant ways and often are not preempted by HIPAA, thus complicating compliance efforts.</w:t>
      </w:r>
    </w:p>
    <w:p>
      <w:pPr>
        <w:spacing w:after="0" w:line="86" w:lineRule="exact"/>
        <w:rPr>
          <w:sz w:val="20"/>
          <w:szCs w:val="20"/>
          <w:color w:val="auto"/>
        </w:rPr>
      </w:pPr>
    </w:p>
    <w:p>
      <w:pPr>
        <w:ind w:firstLine="576"/>
        <w:spacing w:after="0" w:line="253"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regulatory safe harbors available, it is possible that some of our business activities, including compensation of physicians with stock or stock options, could, despite efforts to comply, be subject to challenge under current or future statutes, regulations or case law interpreting applicable fraud and abuse or other healthcare laws and regulations. Ensuring that our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were to be found to be in violation of any of these laws or any other governmental regulations that may apply to us, we may be subject to significant civil, criminal and administrative penalties, damages, fines, disgorgement, imprisonment, exclusion from government funded healthcare programs, such as Medicare and Medicaid, contractual damages, integrity oversight and reporting obligations, reputational harm, diminished profits and future earnings, and the curtailment or restructuring of our operations, any of which could adversely affect our ability to operate our business and our results of operations. If any of the physicians or other providers or entities with whom we expect to do business is found not to be in compliance with applicable laws, they may be subject to significant criminal, civil or administrative sanctions, including exclusions from government funded healthcare programs. In addition, the approval and commercialization of any of our product candidates outside the United States will also likely subject us to foreign equivalents of the healthcare laws mentioned above, among other foreign laws.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reform measures may have a material adverse effect on our business and results of operations.</w:t>
      </w:r>
    </w:p>
    <w:p>
      <w:pPr>
        <w:spacing w:after="0" w:line="121" w:lineRule="exact"/>
        <w:rPr>
          <w:sz w:val="20"/>
          <w:szCs w:val="20"/>
          <w:color w:val="auto"/>
        </w:rPr>
      </w:pPr>
    </w:p>
    <w:p>
      <w:pPr>
        <w:ind w:firstLine="576"/>
        <w:spacing w:after="0" w:line="258" w:lineRule="auto"/>
        <w:rPr>
          <w:sz w:val="20"/>
          <w:szCs w:val="20"/>
          <w:color w:val="auto"/>
        </w:rPr>
      </w:pPr>
      <w:r>
        <w:rPr>
          <w:rFonts w:ascii="Times New Roman" w:cs="Times New Roman" w:eastAsia="Times New Roman" w:hAnsi="Times New Roman"/>
          <w:sz w:val="18"/>
          <w:szCs w:val="18"/>
          <w:color w:val="auto"/>
        </w:rPr>
        <w:t>The U.S. and many foreign jurisdictions have enacted or proposed legislative and regulatory changes affecting the healthcare system that could prevent or delay marketing approval of our current or future product candidates or any future product candidates, restrict or regulate post-approval activities and affect our ability to profitably sell a product for which we obtain marketing approval. Changes in regulations, statutes or the interpretation of existing regulations could impact our business in the future by requiring, for example: (i) changes to our manufacturing arrangements, (ii) additions or modifications to product labeling, (iii) the recall or</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3" w:name="page54"/>
    <w:bookmarkEnd w:id="53"/>
    <w:p>
      <w:pPr>
        <w:ind w:right="320"/>
        <w:spacing w:after="0" w:line="261" w:lineRule="auto"/>
        <w:rPr>
          <w:sz w:val="20"/>
          <w:szCs w:val="20"/>
          <w:color w:val="auto"/>
        </w:rPr>
      </w:pPr>
      <w:r>
        <w:rPr>
          <w:rFonts w:ascii="Times New Roman" w:cs="Times New Roman" w:eastAsia="Times New Roman" w:hAnsi="Times New Roman"/>
          <w:sz w:val="18"/>
          <w:szCs w:val="18"/>
          <w:color w:val="auto"/>
        </w:rPr>
        <w:t>discontinuation of our products or (iv) additional record-keeping requirements. If any such changes were to be imposed, they could adversely affect the operation of our business. In the U.S., there have been and continue to be a number of legislative initiatives to contain healthcare costs. For example, in March 2010, Patient Protection and ACA was passed, which substantially changed the way healthcare is financed by both governmental and private insurers.</w:t>
      </w:r>
    </w:p>
    <w:p>
      <w:pPr>
        <w:spacing w:after="0" w:line="72" w:lineRule="exact"/>
        <w:rPr>
          <w:sz w:val="20"/>
          <w:szCs w:val="20"/>
          <w:color w:val="auto"/>
        </w:rPr>
      </w:pPr>
    </w:p>
    <w:p>
      <w:pPr>
        <w:ind w:right="20" w:firstLine="576"/>
        <w:spacing w:after="0" w:line="256" w:lineRule="auto"/>
        <w:rPr>
          <w:sz w:val="20"/>
          <w:szCs w:val="20"/>
          <w:color w:val="auto"/>
        </w:rPr>
      </w:pPr>
      <w:r>
        <w:rPr>
          <w:rFonts w:ascii="Times New Roman" w:cs="Times New Roman" w:eastAsia="Times New Roman" w:hAnsi="Times New Roman"/>
          <w:sz w:val="18"/>
          <w:szCs w:val="18"/>
          <w:color w:val="auto"/>
        </w:rPr>
        <w:t>There have been executive, judicial and congressional challenges to certain aspects of the ACA. For example, on July 4, 2025, the One Big Beautiful Bill Act (the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w:t>
      </w:r>
    </w:p>
    <w:p>
      <w:pPr>
        <w:spacing w:after="0" w:line="79" w:lineRule="exact"/>
        <w:rPr>
          <w:sz w:val="20"/>
          <w:szCs w:val="20"/>
          <w:color w:val="auto"/>
        </w:rPr>
      </w:pPr>
    </w:p>
    <w:p>
      <w:pPr>
        <w:jc w:val="both"/>
        <w:ind w:right="120" w:firstLine="576"/>
        <w:spacing w:after="0" w:line="266"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These changes include aggregate reductions to Medicare payments to providers of 2% per fiscal year, which began in 2013 and will remain in effect until 2032 unless additional Congressional action is taken.</w:t>
      </w:r>
    </w:p>
    <w:p>
      <w:pPr>
        <w:spacing w:after="0" w:line="68" w:lineRule="exact"/>
        <w:rPr>
          <w:sz w:val="20"/>
          <w:szCs w:val="20"/>
          <w:color w:val="auto"/>
        </w:rPr>
      </w:pPr>
    </w:p>
    <w:p>
      <w:pPr>
        <w:ind w:right="100" w:firstLine="576"/>
        <w:spacing w:after="0" w:line="268" w:lineRule="auto"/>
        <w:rPr>
          <w:sz w:val="20"/>
          <w:szCs w:val="20"/>
          <w:color w:val="auto"/>
        </w:rPr>
      </w:pPr>
      <w:r>
        <w:rPr>
          <w:rFonts w:ascii="Times New Roman" w:cs="Times New Roman" w:eastAsia="Times New Roman" w:hAnsi="Times New Roman"/>
          <w:sz w:val="17"/>
          <w:szCs w:val="17"/>
          <w:color w:val="auto"/>
        </w:rPr>
        <w:t>The current administration is pursuing policies to reduce regulations and expenditures across government agencies including at the U.S. Department of Health and Human Services, or HHS, the FDA,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 to consumer platform, U.S. patients and Medicaid programs prescription drug Most-Favored Nation pricing equal to or lower than those paid in other developed nations, with additional mandates for direct-to-patient discounts and repatriation of foreign revenues. Other recent actions, for example, include</w:t>
      </w:r>
    </w:p>
    <w:p>
      <w:pPr>
        <w:spacing w:after="0" w:line="5" w:lineRule="exact"/>
        <w:rPr>
          <w:sz w:val="20"/>
          <w:szCs w:val="20"/>
          <w:color w:val="auto"/>
        </w:rPr>
      </w:pPr>
    </w:p>
    <w:p>
      <w:pPr>
        <w:ind w:firstLine="8"/>
        <w:spacing w:after="0" w:line="251" w:lineRule="auto"/>
        <w:tabs>
          <w:tab w:leader="none" w:pos="2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directing agencies to reduce agency workforce and cut programs; (2) directing HHS and other agencies to lower prescription drug costs through a variety of initiatives; (3) imposing tariffs on imported pharmaceutical products; and (4) as part of the Make America Healthy Again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payment methodologies, among other things. These actions and policies may significantly reduce U.S. drug prices, potentially impacting manufacturers’ global pricing strategies and profitability, while increasing their operational costs and compliance risks. In June 2024, the U.S. Supreme Court’s Loper Bright decision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 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w:t>
      </w:r>
    </w:p>
    <w:p>
      <w:pPr>
        <w:spacing w:after="0" w:line="82" w:lineRule="exact"/>
        <w:rPr>
          <w:sz w:val="20"/>
          <w:szCs w:val="20"/>
          <w:color w:val="auto"/>
        </w:rPr>
      </w:pPr>
    </w:p>
    <w:p>
      <w:pPr>
        <w:ind w:right="120" w:firstLine="621"/>
        <w:spacing w:after="0" w:line="289" w:lineRule="auto"/>
        <w:rPr>
          <w:sz w:val="20"/>
          <w:szCs w:val="20"/>
          <w:color w:val="auto"/>
        </w:rPr>
      </w:pPr>
      <w:r>
        <w:rPr>
          <w:rFonts w:ascii="Times New Roman" w:cs="Times New Roman" w:eastAsia="Times New Roman" w:hAnsi="Times New Roman"/>
          <w:sz w:val="17"/>
          <w:szCs w:val="17"/>
          <w:color w:val="auto"/>
        </w:rPr>
        <w:t>Our revenue prospects could be affected by changes in healthcare spending and policy in the U.S.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50" w:lineRule="exact"/>
        <w:rPr>
          <w:sz w:val="20"/>
          <w:szCs w:val="20"/>
          <w:color w:val="auto"/>
        </w:rPr>
      </w:pPr>
    </w:p>
    <w:p>
      <w:pPr>
        <w:ind w:right="140" w:firstLine="576"/>
        <w:spacing w:after="0" w:line="261" w:lineRule="auto"/>
        <w:rPr>
          <w:sz w:val="20"/>
          <w:szCs w:val="20"/>
          <w:color w:val="auto"/>
        </w:rPr>
      </w:pPr>
      <w:r>
        <w:rPr>
          <w:rFonts w:ascii="Times New Roman" w:cs="Times New Roman" w:eastAsia="Times New Roman" w:hAnsi="Times New Roman"/>
          <w:sz w:val="18"/>
          <w:szCs w:val="18"/>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72" w:lineRule="exact"/>
        <w:rPr>
          <w:sz w:val="20"/>
          <w:szCs w:val="20"/>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our current or future product candidates, if we obtain regulatory approval;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our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coverage and reimbursement approval for a product;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or maintain profitability;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4" w:name="page55"/>
    <w:bookmarkEnd w:id="54"/>
    <w:p>
      <w:pPr>
        <w:ind w:right="140" w:firstLine="576"/>
        <w:spacing w:after="0" w:line="282" w:lineRule="auto"/>
        <w:rPr>
          <w:sz w:val="20"/>
          <w:szCs w:val="20"/>
          <w:color w:val="auto"/>
        </w:rPr>
      </w:pPr>
      <w:r>
        <w:rPr>
          <w:rFonts w:ascii="Times New Roman" w:cs="Times New Roman" w:eastAsia="Times New Roman" w:hAnsi="Times New Roman"/>
          <w:sz w:val="18"/>
          <w:szCs w:val="18"/>
          <w:color w:val="auto"/>
        </w:rPr>
        <w:t>Any reduction in reimbursement from Medicare or other government programs may result in a similar reduction in payments from private payors, which may adversely affect our future profitability.</w:t>
      </w:r>
    </w:p>
    <w:p>
      <w:pPr>
        <w:spacing w:after="0" w:line="50"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the U.K. Bribery Act 2010, or the Bribery Act, the U.S. Foreign Corrupt Practices Act of 1977, as amended, or the FCPA, and other anti-corruption laws, as well as export control laws, import and customs laws, trade and economic sanctions laws and other laws governing our operations.</w:t>
      </w:r>
    </w:p>
    <w:p>
      <w:pPr>
        <w:spacing w:after="0" w:line="67" w:lineRule="exact"/>
        <w:rPr>
          <w:sz w:val="20"/>
          <w:szCs w:val="20"/>
          <w:color w:val="auto"/>
        </w:rPr>
      </w:pPr>
    </w:p>
    <w:p>
      <w:pPr>
        <w:ind w:right="60" w:firstLine="576"/>
        <w:spacing w:after="0" w:line="253" w:lineRule="auto"/>
        <w:rPr>
          <w:sz w:val="20"/>
          <w:szCs w:val="20"/>
          <w:color w:val="auto"/>
        </w:rPr>
      </w:pPr>
      <w:r>
        <w:rPr>
          <w:rFonts w:ascii="Times New Roman" w:cs="Times New Roman" w:eastAsia="Times New Roman" w:hAnsi="Times New Roman"/>
          <w:sz w:val="18"/>
          <w:szCs w:val="18"/>
          <w:color w:val="auto"/>
        </w:rPr>
        <w:t>Our operations are subject to anti-corruption laws, including the Bribery Act, the FCPA, the U.S. domestic bribery statute contained in 18 U.S.C. §201, the U.S. Travel Act, and other anti-corruption laws that apply in countries where we do business. The Bribery Act, the FCPA and these other laws generally prohibit us and our employees and intermediaries from authorizing, promising, offering, or providing, directly or indirectly, improper or prohibited payments, or anything else of value, to government officials or other persons to obtain or retain business or gain some other business advantage. Under the Bribery Act, we may also be liable for failing to prevent a person associated with us from committing a bribery offense.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We and our commercial partners operate in a number of jurisdictions that pose a high risk of potential Bribery Act or FCPA violations, and we participate in collaborations and relationships with third parties whose corrupt or illegal activities could potentially subject us to liability under the Bribery Act, FCPA or local anti-corruption laws, even if we do not explicitly authorize or have actual knowledge of such activities. In addition, we cannot predict the nature, scope or effect of future regulatory requirements to which our international operations might be subject or the manner in which existing laws might be administered or interpreted.</w:t>
      </w:r>
    </w:p>
    <w:p>
      <w:pPr>
        <w:spacing w:after="0" w:line="82" w:lineRule="exact"/>
        <w:rPr>
          <w:sz w:val="20"/>
          <w:szCs w:val="20"/>
          <w:color w:val="auto"/>
        </w:rPr>
      </w:pPr>
    </w:p>
    <w:p>
      <w:pPr>
        <w:ind w:right="20" w:firstLine="576"/>
        <w:spacing w:after="0" w:line="256" w:lineRule="auto"/>
        <w:rPr>
          <w:sz w:val="20"/>
          <w:szCs w:val="20"/>
          <w:color w:val="auto"/>
        </w:rPr>
      </w:pPr>
      <w:r>
        <w:rPr>
          <w:rFonts w:ascii="Times New Roman" w:cs="Times New Roman" w:eastAsia="Times New Roman" w:hAnsi="Times New Roman"/>
          <w:sz w:val="18"/>
          <w:szCs w:val="18"/>
          <w:color w:val="auto"/>
        </w:rPr>
        <w:t>We are also subject to other laws and regulations governing our international operations, including regulations administered by the governments of the United Kingdom and the United States, and authorities in the European Union, including applicable export control regulations, economic sanctions and embargoes on certain countries and persons, anti-money laundering laws, import and customs requirements and currency exchange regulations, collectively referred to as the Trade Control laws. Compliance with Trade Control laws may create delays in the introduction of our products in international markets or, in some cases, prevent the export of our products to some countries altogether. Furthermore, Trade Control laws prohibit the provision of certain products and services to countries, governments and persons targeted by sanctions.</w:t>
      </w:r>
    </w:p>
    <w:p>
      <w:pPr>
        <w:spacing w:after="0" w:line="79" w:lineRule="exact"/>
        <w:rPr>
          <w:sz w:val="20"/>
          <w:szCs w:val="20"/>
          <w:color w:val="auto"/>
        </w:rPr>
      </w:pPr>
    </w:p>
    <w:p>
      <w:pPr>
        <w:ind w:right="80" w:firstLine="576"/>
        <w:spacing w:after="0" w:line="256" w:lineRule="auto"/>
        <w:rPr>
          <w:sz w:val="20"/>
          <w:szCs w:val="20"/>
          <w:color w:val="auto"/>
        </w:rPr>
      </w:pPr>
      <w:r>
        <w:rPr>
          <w:rFonts w:ascii="Times New Roman" w:cs="Times New Roman" w:eastAsia="Times New Roman" w:hAnsi="Times New Roman"/>
          <w:sz w:val="18"/>
          <w:szCs w:val="18"/>
          <w:color w:val="auto"/>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Likewise, any investigation of any potential violations of the Bribery Act, the FCPA, other anti-corruption laws or Trade Control laws by United Kingdom, United States or other authorities could also have an adverse impact on our reputation, our business, results of operations and financial condition.</w:t>
      </w:r>
    </w:p>
    <w:p>
      <w:pPr>
        <w:spacing w:after="0" w:line="7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51" w:lineRule="exact"/>
        <w:rPr>
          <w:sz w:val="20"/>
          <w:szCs w:val="20"/>
          <w:color w:val="auto"/>
        </w:rPr>
      </w:pPr>
    </w:p>
    <w:p>
      <w:pPr>
        <w:ind w:firstLine="576"/>
        <w:spacing w:after="0" w:line="253"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86" w:lineRule="exact"/>
        <w:rPr>
          <w:sz w:val="20"/>
          <w:szCs w:val="20"/>
          <w:color w:val="auto"/>
        </w:rPr>
      </w:pPr>
    </w:p>
    <w:p>
      <w:pPr>
        <w:ind w:right="40" w:firstLine="576"/>
        <w:spacing w:after="0" w:line="256"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Product Candidates</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5" w:name="page56"/>
    <w:bookmarkEnd w:id="55"/>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marketing and distribution capabilities for our product candidates, or enter into sales, marketing and distribution agreements with third parties, we may not be successful in commercializing our product candidates, if approved.</w:t>
      </w:r>
    </w:p>
    <w:p>
      <w:pPr>
        <w:spacing w:after="0" w:line="51" w:lineRule="exact"/>
        <w:rPr>
          <w:sz w:val="20"/>
          <w:szCs w:val="20"/>
          <w:color w:val="auto"/>
        </w:rPr>
      </w:pPr>
    </w:p>
    <w:p>
      <w:pPr>
        <w:ind w:firstLine="576"/>
        <w:spacing w:after="0" w:line="255" w:lineRule="auto"/>
        <w:rPr>
          <w:sz w:val="20"/>
          <w:szCs w:val="20"/>
          <w:color w:val="auto"/>
        </w:rPr>
      </w:pPr>
      <w:r>
        <w:rPr>
          <w:rFonts w:ascii="Times New Roman" w:cs="Times New Roman" w:eastAsia="Times New Roman" w:hAnsi="Times New Roman"/>
          <w:sz w:val="18"/>
          <w:szCs w:val="18"/>
          <w:color w:val="auto"/>
        </w:rPr>
        <w:t>We currently plan to work to build our commercialization capabilities internally over time such that we are able to commercialize any product candidate for which we may obtain regulatory approval. However, we currently have no sales, marketing or distribution capabilities and have no experience in marketing or distributing pharmaceutical products. To achieve commercial success for any product candidate for which we may obtain marketing approval, we will need to expand our sales and marketing organization and establish logistics and distribution processes to commercialize and deliver our product candidates to patients and healthcare providers. These activities will be expensive and time-consuming and will require significant attention of our executive officers to manage. There are risks involved in establishing our own sales and marketing capabilities, as well as with entering into arrangements with third parties to perform these services. Additionally, our beliefs that our products will be commercially viable have not been tested.</w:t>
      </w:r>
    </w:p>
    <w:p>
      <w:pPr>
        <w:spacing w:after="0" w:line="81" w:lineRule="exact"/>
        <w:rPr>
          <w:sz w:val="20"/>
          <w:szCs w:val="20"/>
          <w:color w:val="auto"/>
        </w:rPr>
      </w:pPr>
    </w:p>
    <w:p>
      <w:pPr>
        <w:ind w:firstLine="576"/>
        <w:spacing w:after="0" w:line="256" w:lineRule="auto"/>
        <w:rPr>
          <w:sz w:val="20"/>
          <w:szCs w:val="20"/>
          <w:color w:val="auto"/>
        </w:rPr>
      </w:pPr>
      <w:r>
        <w:rPr>
          <w:rFonts w:ascii="Times New Roman" w:cs="Times New Roman" w:eastAsia="Times New Roman" w:hAnsi="Times New Roman"/>
          <w:sz w:val="18"/>
          <w:szCs w:val="18"/>
          <w:color w:val="auto"/>
        </w:rPr>
        <w:t>If we are unable or decide not to establish internal sales, marketing and distribution capabilities, we would have to pursue collaborative arrangements regarding the sales and marketing of our products. However, we may not be successful in entering into arrangements with third parties to sell, market and distribute our product candidates or may be unable to do so on terms that are favorable to us, or if we are able to do so, that they would be effective and successful in commercializing our products. Our product revenues and our profitability, if any, would likely to be lower than if we were to sell, market and distribute any product candidates that we develop ourselves. In addition, we would have limited control over such third parties, and any of them may fail to devote the necessary resources and attention to sell and market our product candidates effectively.</w:t>
      </w:r>
    </w:p>
    <w:p>
      <w:pPr>
        <w:spacing w:after="0" w:line="79" w:lineRule="exact"/>
        <w:rPr>
          <w:sz w:val="20"/>
          <w:szCs w:val="20"/>
          <w:color w:val="auto"/>
        </w:rPr>
      </w:pPr>
    </w:p>
    <w:p>
      <w:pPr>
        <w:ind w:right="20" w:firstLine="576"/>
        <w:spacing w:after="0" w:line="282" w:lineRule="auto"/>
        <w:rPr>
          <w:sz w:val="20"/>
          <w:szCs w:val="20"/>
          <w:color w:val="auto"/>
        </w:rPr>
      </w:pPr>
      <w:r>
        <w:rPr>
          <w:rFonts w:ascii="Times New Roman" w:cs="Times New Roman" w:eastAsia="Times New Roman" w:hAnsi="Times New Roman"/>
          <w:sz w:val="18"/>
          <w:szCs w:val="18"/>
          <w:color w:val="auto"/>
        </w:rPr>
        <w:t>If we do not establish sales, marketing and distribution capabilities successfully, either on our own or in collaboration with third parties, we will not be successful in commercializing our product candidates in the United States or overseas.</w:t>
      </w:r>
    </w:p>
    <w:p>
      <w:pPr>
        <w:spacing w:after="0" w:line="50"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 rapidly changing industry and face significant competition, which may result in others discovering, developing or commercializing products before or more successfully than we do.</w:t>
      </w:r>
    </w:p>
    <w:p>
      <w:pPr>
        <w:spacing w:after="0" w:line="51" w:lineRule="exact"/>
        <w:rPr>
          <w:sz w:val="20"/>
          <w:szCs w:val="20"/>
          <w:color w:val="auto"/>
        </w:rPr>
      </w:pPr>
    </w:p>
    <w:p>
      <w:pPr>
        <w:ind w:firstLine="576"/>
        <w:spacing w:after="0" w:line="255" w:lineRule="auto"/>
        <w:rPr>
          <w:sz w:val="20"/>
          <w:szCs w:val="20"/>
          <w:color w:val="auto"/>
        </w:rPr>
      </w:pPr>
      <w:r>
        <w:rPr>
          <w:rFonts w:ascii="Times New Roman" w:cs="Times New Roman" w:eastAsia="Times New Roman" w:hAnsi="Times New Roman"/>
          <w:sz w:val="18"/>
          <w:szCs w:val="18"/>
          <w:color w:val="auto"/>
        </w:rPr>
        <w:t>The development and commercialization of new biopharmaceutical products is highly competitive and subject to rapid and significant technological advancements. We face competition from major multi-national pharmaceutical companies, biotechnology companies and specialty pharmaceutical companies with respect to our current and future product candidates that we may develop and commercialize in the future. There are a number of large pharmaceutical and biotechnology companies that currently market and sell products or are pursuing the development of product candidates for the treatment of cancer. Smaller or early-stage companies may also prove to be significant competitors, particularly through collaborative arrangements with large, established companies. Potential competitors also include academic institutions, government agencies and other public and private research organizations.</w:t>
      </w:r>
    </w:p>
    <w:p>
      <w:pPr>
        <w:spacing w:after="0" w:line="81" w:lineRule="exact"/>
        <w:rPr>
          <w:sz w:val="20"/>
          <w:szCs w:val="20"/>
          <w:color w:val="auto"/>
        </w:rPr>
      </w:pPr>
    </w:p>
    <w:p>
      <w:pPr>
        <w:ind w:firstLine="576"/>
        <w:spacing w:after="0" w:line="252" w:lineRule="auto"/>
        <w:rPr>
          <w:sz w:val="20"/>
          <w:szCs w:val="20"/>
          <w:color w:val="auto"/>
        </w:rPr>
      </w:pPr>
      <w:r>
        <w:rPr>
          <w:rFonts w:ascii="Times New Roman" w:cs="Times New Roman" w:eastAsia="Times New Roman" w:hAnsi="Times New Roman"/>
          <w:sz w:val="18"/>
          <w:szCs w:val="18"/>
          <w:color w:val="auto"/>
        </w:rPr>
        <w:t>We anticipate that we will compete with Alpelisib, Inavolisib, Capivasertib, Everolimus and Temsirolimus, all of which are approved drugs that target the PI3K/AKT/mTOR pathway. In addition, we are aware of several additional product candidates in clinical development that could potentially pose a direct competitive threat to PIKTOR, particularly for the treatment of advanced HR+/HER2- breast cancer. These product candidates include Gedatolisib, an intravenous pan-PI3K + mTORC1/2 inhibitor from Celcuity, whose New Drug Application for HR+/HER2-, PIK3CA wild-type metastatic breast cancer was accepted by the FDA with Priority Review and a Prescription Drug User Fee Act goal date of July 17, 2026; Tersolisib, an oral mutant-specific PI3Kα inhibitor from Eli Lilly currently in Phase 3 trials for HR+/HER2- breast cancer; Zovegalisib, an oral mutant-selective PI3Kα inhibitor from Relay Therapeutics currently in Phase 3 trials for advanced HR+/HER2- breast cancer; Afuresertib, an oral pan AKT inhibitor from Laekna Therapeutics currently in Phase 3 trials for advanced HR+/HER2- breast cancer; Paxalisib, an oral brain penetrant PI3K/mTOR inhibitor from Kazia Therapeutics currently in Phase 3 trials in glioblastoma; SNV4818, an oral pan-mutant-selective PI3Kα inhibitor acquired by Novartis from Synnovation Therapeutics in March 2026, currently in Phase 1/2 trials for HR+/HER2- breast cancer and other solid tumors; and OKI-219, an oral mutant-specific PI3Kα inhibitor from OnKure Therapeutics, currently in Phase 1/2 trials for HR+/HER2- breast cancer and other solid tumors. In addition, on May 1, 2026, Celcuity announced positive topline results from the PIK3CA mutant cohort of its Phase 3 VIKTORIA-1 trial, with both the gedatolisib triplet (gedatolisib plus fulvestrant plus palbociclib) and the gedatolisib doublet (gedatolisib plus fulvestrant) demonstrating statistically significant and clinically meaningful improvements in progression-free survival. Celcuity has indicated that it intends to submit a supplemental New Drug Application to the FDA for the PIK3CA mutant indication, and that detailed data from both VIKTORIA-1 cohorts will be presented at the 2026 American Society of Clinical Oncology Annual Meeting in early June 2026. If gedatolisib receives marketing approval in either or both indications, it could establish a meaningful market position before PIKTOR completes clinical development. The two cohorts together cover a substantial portion of the HR+/HER2- advanced breast cancer patient population, which could narrow the addressable population for PIKTOR if gedatolisib achieves favorable approval and reimbursement. Our competitive thesis is that multi-node inhibition is a superior mechanism to provide deeper, more tolerable suppression of the PI3K/AKT/mTOR pathway than is currently available in approved therapeutics. If our thesis is incorrect, or if new modalities are developed that better suppress the PI3K/AKT/mTOR pathway, our business would be materially and adversely impacted.</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6" w:name="page57"/>
    <w:bookmarkEnd w:id="56"/>
    <w:p>
      <w:pPr>
        <w:ind w:firstLine="576"/>
        <w:spacing w:after="0" w:line="253" w:lineRule="auto"/>
        <w:rPr>
          <w:sz w:val="20"/>
          <w:szCs w:val="20"/>
          <w:color w:val="auto"/>
        </w:rPr>
      </w:pPr>
      <w:r>
        <w:rPr>
          <w:rFonts w:ascii="Times New Roman" w:cs="Times New Roman" w:eastAsia="Times New Roman" w:hAnsi="Times New Roman"/>
          <w:sz w:val="18"/>
          <w:szCs w:val="18"/>
          <w:color w:val="auto"/>
        </w:rPr>
        <w:t>Several of these competing product candidates are in Phase 3 registrational trials with potential approval timelines that are ahead of our development timeline for PIKTOR. In particular, Celcuity has now reported positive topline Phase 3 results from both the PIK3CA wild-type cohort and the PIK3CA mutant cohort of its VIKTORIA-1 trial, has its New Drug Application for gedatolisib in HR+/HER2-, PIK3CA wild-type metastatic breast cancer under FDA Priority Review with a Prescription Drug User Fee Act goal date of July 17, 2026, and has announced its intention to file a supplemental New Drug Application for the PIK3CA mutant indication. If one or more competitors obtains regulatory approval and establishes a market position before we are able to enter the market, it could significantly diminish the commercial opportunity for PIKTOR, particularly if the approved product addresses the same patient population or demonstrates a superior safety or efficacy profile. Additionally, mutant-selective PI3Ka inhibitors being developed by Eli Lilly (tersolisib) and Relay Therapeutics (zovegalisib) are also in Phase 3 development and, if approved, could reduce the addressable market for PIKTOR by providing an alternative targeted approach for patients with PI3K-mutant tumors. Large pharmaceutical companies are making significant investments in the PI3K/AKT/mTOR space. For example, in March 2026, Novartis announced the acquisition of Synnovation Therapeutics’ pan-mutant-selective PI3Kα inhibitor program, including SNV4818, which is currently in Phase 1/2 clinical development for HR+/HER2- breast cancer. This and similar acquisitions could result in additional well-resourced competitors with established commercial infrastructure entering the market ahead of or concurrent with PIKTOR, which could significantly diminish our commercial opportunity.</w:t>
      </w:r>
    </w:p>
    <w:p>
      <w:pPr>
        <w:spacing w:after="0" w:line="79" w:lineRule="exact"/>
        <w:rPr>
          <w:sz w:val="20"/>
          <w:szCs w:val="20"/>
          <w:color w:val="auto"/>
        </w:rPr>
      </w:pPr>
    </w:p>
    <w:p>
      <w:pPr>
        <w:ind w:right="100" w:firstLine="576"/>
        <w:spacing w:after="0" w:line="261" w:lineRule="auto"/>
        <w:rPr>
          <w:sz w:val="20"/>
          <w:szCs w:val="20"/>
          <w:color w:val="auto"/>
        </w:rPr>
      </w:pPr>
      <w:r>
        <w:rPr>
          <w:rFonts w:ascii="Times New Roman" w:cs="Times New Roman" w:eastAsia="Times New Roman" w:hAnsi="Times New Roman"/>
          <w:sz w:val="18"/>
          <w:szCs w:val="18"/>
          <w:color w:val="auto"/>
        </w:rPr>
        <w:t>Our competitors with development-stage programs may obtain marketing approval from the FDA or other comparable regulatory authorities for their product candidates more rapidly than we do, and they could establish a strong market position before we are able to enter the market. In addition, our competitors may succeed in developing, acquiring or licensing technologies and products that are more effective, more effectively marketed and sold or less costly than any product candidates that we may develop, which could render our product candidates non-competitive and obsolete.</w:t>
      </w:r>
    </w:p>
    <w:p>
      <w:pPr>
        <w:spacing w:after="0" w:line="72" w:lineRule="exact"/>
        <w:rPr>
          <w:sz w:val="20"/>
          <w:szCs w:val="20"/>
          <w:color w:val="auto"/>
        </w:rPr>
      </w:pPr>
    </w:p>
    <w:p>
      <w:pPr>
        <w:ind w:right="80" w:firstLine="576"/>
        <w:spacing w:after="0" w:line="255" w:lineRule="auto"/>
        <w:rPr>
          <w:sz w:val="20"/>
          <w:szCs w:val="20"/>
          <w:color w:val="auto"/>
        </w:rPr>
      </w:pPr>
      <w:r>
        <w:rPr>
          <w:rFonts w:ascii="Times New Roman" w:cs="Times New Roman" w:eastAsia="Times New Roman" w:hAnsi="Times New Roman"/>
          <w:sz w:val="18"/>
          <w:szCs w:val="18"/>
          <w:color w:val="auto"/>
        </w:rPr>
        <w:t>Many of our competitors, either alone or with their strategic collaborators, have substantially greater financial, technical and human resources than we do. Accordingly, our competitors may be more successful than we are in obtaining approval for treatments and achieving widespread market acceptance, which may render our treatments obsolete or non-competitive. Mergers and acquisitions in the biotechnology and pharmaceutical industries may result in even more resources being concentrated among a smaller number of our competitors. These competitors also compete with us in recruiting and retaining qualified scientific and management personnel and establishing clinical trial sites and patient registration for clinical studies, as well as in acquiring technologies complementary to, or necessary for, our programs. Smaller or early-stage companies may also prove to be significant competitors, particularly through collaborative arrangements with large and established companies.</w:t>
      </w:r>
    </w:p>
    <w:p>
      <w:pPr>
        <w:spacing w:after="0" w:line="81" w:lineRule="exact"/>
        <w:rPr>
          <w:sz w:val="20"/>
          <w:szCs w:val="20"/>
          <w:color w:val="auto"/>
        </w:rPr>
      </w:pPr>
    </w:p>
    <w:p>
      <w:pPr>
        <w:ind w:right="100" w:firstLine="576"/>
        <w:spacing w:after="0" w:line="261"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or are less expensive or better reimbursed than any products that we may commercialize. Our competitors also may obtain FDA or other regulatory approval for their products more rapidly than we may obtain approval for ours, which could result in our competitors establishing a strong market position for either their product or a specific indication before we are able to enter the market.</w:t>
      </w:r>
    </w:p>
    <w:p>
      <w:pPr>
        <w:spacing w:after="0" w:line="6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w:t>
      </w:r>
    </w:p>
    <w:p>
      <w:pPr>
        <w:spacing w:after="0" w:line="51" w:lineRule="exact"/>
        <w:rPr>
          <w:sz w:val="20"/>
          <w:szCs w:val="20"/>
          <w:color w:val="auto"/>
        </w:rPr>
      </w:pPr>
    </w:p>
    <w:p>
      <w:pPr>
        <w:ind w:right="40" w:firstLine="576"/>
        <w:spacing w:after="0" w:line="261" w:lineRule="auto"/>
        <w:rPr>
          <w:sz w:val="20"/>
          <w:szCs w:val="20"/>
          <w:color w:val="auto"/>
        </w:rPr>
      </w:pPr>
      <w:r>
        <w:rPr>
          <w:rFonts w:ascii="Times New Roman" w:cs="Times New Roman" w:eastAsia="Times New Roman" w:hAnsi="Times New Roman"/>
          <w:sz w:val="18"/>
          <w:szCs w:val="18"/>
          <w:color w:val="auto"/>
        </w:rPr>
        <w:t>Even if we obtain approvals from the FDA or other comparable regulatory agencies and are able to initiate commercialization of our product candidates or any other product candidates we develop, the product candidate may not achieve market acceptance among physicians, patients, hospitals, including pharmacy directors, and third-party payors and, ultimately, may not be commercially successful. The degree of market acceptance of our product candidates, if approved for commercial sale, will depend on a number of factors, including:</w:t>
      </w:r>
    </w:p>
    <w:p>
      <w:pPr>
        <w:spacing w:after="0" w:line="72" w:lineRule="exact"/>
        <w:rPr>
          <w:sz w:val="20"/>
          <w:szCs w:val="20"/>
          <w:color w:val="auto"/>
        </w:rPr>
      </w:pPr>
    </w:p>
    <w:p>
      <w:pPr>
        <w:ind w:left="760" w:hanging="367"/>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our product candidates are approved;</w:t>
      </w:r>
    </w:p>
    <w:p>
      <w:pPr>
        <w:spacing w:after="0" w:line="117" w:lineRule="exact"/>
        <w:rPr>
          <w:rFonts w:ascii="Times New Roman" w:cs="Times New Roman" w:eastAsia="Times New Roman" w:hAnsi="Times New Roman"/>
          <w:sz w:val="18"/>
          <w:szCs w:val="18"/>
          <w:color w:val="auto"/>
        </w:rPr>
      </w:pPr>
    </w:p>
    <w:p>
      <w:pPr>
        <w:ind w:left="760" w:hanging="367"/>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physicians, hospitals, cancer treatment centers, and patients considering our product candidates as a safe and effective treatment;</w:t>
      </w:r>
    </w:p>
    <w:p>
      <w:pPr>
        <w:spacing w:after="0" w:line="117" w:lineRule="exact"/>
        <w:rPr>
          <w:rFonts w:ascii="Times New Roman" w:cs="Times New Roman" w:eastAsia="Times New Roman" w:hAnsi="Times New Roman"/>
          <w:sz w:val="18"/>
          <w:szCs w:val="18"/>
          <w:color w:val="auto"/>
        </w:rPr>
      </w:pPr>
    </w:p>
    <w:p>
      <w:pPr>
        <w:ind w:left="760" w:hanging="367"/>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our product candidates over alternative treatments;</w:t>
      </w:r>
    </w:p>
    <w:p>
      <w:pPr>
        <w:spacing w:after="0" w:line="117" w:lineRule="exact"/>
        <w:rPr>
          <w:rFonts w:ascii="Times New Roman" w:cs="Times New Roman" w:eastAsia="Times New Roman" w:hAnsi="Times New Roman"/>
          <w:sz w:val="18"/>
          <w:szCs w:val="18"/>
          <w:color w:val="auto"/>
        </w:rPr>
      </w:pPr>
    </w:p>
    <w:p>
      <w:pPr>
        <w:ind w:left="760" w:hanging="367"/>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117" w:lineRule="exact"/>
        <w:rPr>
          <w:rFonts w:ascii="Times New Roman" w:cs="Times New Roman" w:eastAsia="Times New Roman" w:hAnsi="Times New Roman"/>
          <w:sz w:val="18"/>
          <w:szCs w:val="18"/>
          <w:color w:val="auto"/>
        </w:rPr>
      </w:pPr>
    </w:p>
    <w:p>
      <w:pPr>
        <w:ind w:left="760" w:hanging="367"/>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or other regulatory authorities;</w:t>
      </w:r>
    </w:p>
    <w:p>
      <w:pPr>
        <w:spacing w:after="0" w:line="117" w:lineRule="exact"/>
        <w:rPr>
          <w:rFonts w:ascii="Times New Roman" w:cs="Times New Roman" w:eastAsia="Times New Roman" w:hAnsi="Times New Roman"/>
          <w:sz w:val="18"/>
          <w:szCs w:val="18"/>
          <w:color w:val="auto"/>
        </w:rPr>
      </w:pPr>
    </w:p>
    <w:p>
      <w:pPr>
        <w:ind w:left="760" w:hanging="367"/>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labeling approved by the FDA;</w:t>
      </w:r>
    </w:p>
    <w:p>
      <w:pPr>
        <w:spacing w:after="0" w:line="117" w:lineRule="exact"/>
        <w:rPr>
          <w:rFonts w:ascii="Times New Roman" w:cs="Times New Roman" w:eastAsia="Times New Roman" w:hAnsi="Times New Roman"/>
          <w:sz w:val="18"/>
          <w:szCs w:val="18"/>
          <w:color w:val="auto"/>
        </w:rPr>
      </w:pPr>
    </w:p>
    <w:p>
      <w:pPr>
        <w:ind w:left="760" w:hanging="367"/>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our product candidates as well as competitive products;</w:t>
      </w:r>
    </w:p>
    <w:p>
      <w:pPr>
        <w:spacing w:after="0" w:line="117" w:lineRule="exact"/>
        <w:rPr>
          <w:rFonts w:ascii="Times New Roman" w:cs="Times New Roman" w:eastAsia="Times New Roman" w:hAnsi="Times New Roman"/>
          <w:sz w:val="18"/>
          <w:szCs w:val="18"/>
          <w:color w:val="auto"/>
        </w:rPr>
      </w:pPr>
    </w:p>
    <w:p>
      <w:pPr>
        <w:ind w:left="760" w:hanging="367"/>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w:t>
      </w:r>
    </w:p>
    <w:p>
      <w:pPr>
        <w:spacing w:after="0" w:line="117" w:lineRule="exact"/>
        <w:rPr>
          <w:rFonts w:ascii="Times New Roman" w:cs="Times New Roman" w:eastAsia="Times New Roman" w:hAnsi="Times New Roman"/>
          <w:sz w:val="18"/>
          <w:szCs w:val="18"/>
          <w:color w:val="auto"/>
        </w:rPr>
      </w:pPr>
    </w:p>
    <w:p>
      <w:pPr>
        <w:ind w:left="760" w:hanging="367"/>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upfront costs or training required for physicians to administer our product candidates;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7" w:name="page58"/>
    <w:bookmarkEnd w:id="57"/>
    <w:p>
      <w:pPr>
        <w:ind w:left="760" w:right="720" w:hanging="367"/>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adequate reimbursement from, and our ability to negotiate pricing with, third-party payors and government authorities;</w:t>
      </w:r>
    </w:p>
    <w:p>
      <w:pPr>
        <w:spacing w:after="0" w:line="53" w:lineRule="exact"/>
        <w:rPr>
          <w:rFonts w:ascii="Times New Roman" w:cs="Times New Roman" w:eastAsia="Times New Roman" w:hAnsi="Times New Roman"/>
          <w:sz w:val="18"/>
          <w:szCs w:val="18"/>
          <w:color w:val="auto"/>
        </w:rPr>
      </w:pPr>
    </w:p>
    <w:p>
      <w:pPr>
        <w:ind w:left="760" w:right="680" w:hanging="367"/>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out-of-pocket in the absence of comprehensive coverage and reimbursement by third-party payors and government authorities;</w:t>
      </w:r>
    </w:p>
    <w:p>
      <w:pPr>
        <w:spacing w:after="0" w:line="53" w:lineRule="exact"/>
        <w:rPr>
          <w:rFonts w:ascii="Times New Roman" w:cs="Times New Roman" w:eastAsia="Times New Roman" w:hAnsi="Times New Roman"/>
          <w:sz w:val="18"/>
          <w:szCs w:val="18"/>
          <w:color w:val="auto"/>
        </w:rPr>
      </w:pPr>
    </w:p>
    <w:p>
      <w:pPr>
        <w:ind w:left="760" w:hanging="367"/>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 including as compared to alternative treatments and competitive therapies; and</w:t>
      </w:r>
    </w:p>
    <w:p>
      <w:pPr>
        <w:spacing w:after="0" w:line="117" w:lineRule="exact"/>
        <w:rPr>
          <w:rFonts w:ascii="Times New Roman" w:cs="Times New Roman" w:eastAsia="Times New Roman" w:hAnsi="Times New Roman"/>
          <w:sz w:val="18"/>
          <w:szCs w:val="18"/>
          <w:color w:val="auto"/>
        </w:rPr>
      </w:pPr>
    </w:p>
    <w:p>
      <w:pPr>
        <w:ind w:left="760" w:hanging="367"/>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 and distribution support.</w:t>
      </w:r>
    </w:p>
    <w:p>
      <w:pPr>
        <w:spacing w:after="0" w:line="117" w:lineRule="exact"/>
        <w:rPr>
          <w:sz w:val="20"/>
          <w:szCs w:val="20"/>
          <w:color w:val="auto"/>
        </w:rPr>
      </w:pPr>
    </w:p>
    <w:p>
      <w:pPr>
        <w:ind w:right="160" w:firstLine="576"/>
        <w:spacing w:after="0" w:line="261" w:lineRule="auto"/>
        <w:rPr>
          <w:sz w:val="20"/>
          <w:szCs w:val="20"/>
          <w:color w:val="auto"/>
        </w:rPr>
      </w:pPr>
      <w:r>
        <w:rPr>
          <w:rFonts w:ascii="Times New Roman" w:cs="Times New Roman" w:eastAsia="Times New Roman" w:hAnsi="Times New Roman"/>
          <w:sz w:val="18"/>
          <w:szCs w:val="18"/>
          <w:color w:val="auto"/>
        </w:rPr>
        <w:t>Our efforts to educate physicians, patients, third-party payors and others in the medical community on the benefits of our product candidates, if approved, may require significant resources and may never be successful. Because we expect sales of our product candidates, if approved, to generate substantially all of our product revenue for the foreseeable future, the failure of our product candidates to find market acceptance could harm our business and could require us to seek additional financing.</w:t>
      </w:r>
    </w:p>
    <w:p>
      <w:pPr>
        <w:spacing w:after="0" w:line="72" w:lineRule="exact"/>
        <w:rPr>
          <w:sz w:val="20"/>
          <w:szCs w:val="20"/>
          <w:color w:val="auto"/>
        </w:rPr>
      </w:pPr>
    </w:p>
    <w:p>
      <w:pPr>
        <w:ind w:right="240" w:firstLine="576"/>
        <w:spacing w:after="0" w:line="282" w:lineRule="auto"/>
        <w:rPr>
          <w:sz w:val="20"/>
          <w:szCs w:val="20"/>
          <w:color w:val="auto"/>
        </w:rPr>
      </w:pPr>
      <w:r>
        <w:rPr>
          <w:rFonts w:ascii="Times New Roman" w:cs="Times New Roman" w:eastAsia="Times New Roman" w:hAnsi="Times New Roman"/>
          <w:sz w:val="18"/>
          <w:szCs w:val="18"/>
          <w:color w:val="auto"/>
        </w:rPr>
        <w:t>Even if our product candidates, if approved, achieve market acceptance, we may not be able to maintain that market acceptance over time if new products or technologies are introduced that are more favorably received than our products, are more cost effective or render our products obsolete.</w:t>
      </w:r>
    </w:p>
    <w:p>
      <w:pPr>
        <w:spacing w:after="0" w:line="50"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Coverage and adequate reimbursement may not be available for our current or any future product candidates, which could make it difficult for us to sell profitably, if approved.</w:t>
      </w:r>
    </w:p>
    <w:p>
      <w:pPr>
        <w:spacing w:after="0" w:line="51" w:lineRule="exact"/>
        <w:rPr>
          <w:sz w:val="20"/>
          <w:szCs w:val="20"/>
          <w:color w:val="auto"/>
        </w:rPr>
      </w:pPr>
    </w:p>
    <w:p>
      <w:pPr>
        <w:ind w:firstLine="576"/>
        <w:spacing w:after="0" w:line="252" w:lineRule="auto"/>
        <w:rPr>
          <w:sz w:val="20"/>
          <w:szCs w:val="20"/>
          <w:color w:val="auto"/>
        </w:rPr>
      </w:pPr>
      <w:r>
        <w:rPr>
          <w:rFonts w:ascii="Times New Roman" w:cs="Times New Roman" w:eastAsia="Times New Roman" w:hAnsi="Times New Roman"/>
          <w:sz w:val="18"/>
          <w:szCs w:val="18"/>
          <w:color w:val="auto"/>
        </w:rPr>
        <w:t>Market acceptance and sales of any product candidates, if approved, that we commercialize will depend in part on the extent to which reimbursement for these products and related treatments will be available from third-party payors, including government health administration authorities, managed care organizations and private health insurers. Third-party payors decide which therapies they will pay for and establish reimbursement levels. In the United States, the principal decisions about reimbursement for new medicines are typically made by CMS, an agency within HHS. CMS decides whether and to what extent a new medicine will be covered and reimbursed under Medicare and private payors tend to follow CMS to a substantial degree. However, decisions regarding the extent of coverage and amount of reimbursement to be provided for any product candidates that we develop will be made on a payor-by-payor basis. Further, no uniform policy for coverage and reimbursement exists in the United States, and coverage and reimbursement can differ significantly from payor to payor. As a result, one payor’s determination to provide coverage for a drug does not assure that other payors will also provide coverage and adequate reimbursement for the drug. Additionally, a third-party payor’s decision to provide coverage for a therapy does not imply that an adequate reimbursement rate to allow us to establish or maintain pricing sufficient to realize a sufficient return on our investment will be approved. Third-party payors are increasingly challenging the price, examining the medical necessity and reviewing the cost-effectiveness of medical products, therapies and services, in addition to questioning their safety and efficacy. We may incur significant costs to conduct expensive pharmaco-economic studies in order to demonstrate the medical necessity and cost-effectiveness of our product candidates, in addition to the costs required to obtain FDA approvals. Our product candidates may not be considered medically necessary or cost-effective. Each payor determines whether or not it will provide coverage for a therapy, what amount it will pay the manufacturer for the therapy, and on what tier of its list of covered drugs, or formulary, it will be placed. The position on a payor’s formulary generally determines the co-payment that a patient will need to make to obtain the therapy and can strongly influence the adoption of such therapy by patients and physicians. Patients who are prescribed treatments for their conditions and providers prescribing such services generally rely on third-party payors to reimburse all or part of the associated healthcare costs. Patients are unlikely to use our products, and providers are unlikely to prescribe our products, unless coverage is provided and reimbursement is adequate to cover a significant portion of the cost of our products and their administration. Therefore, coverage and adequate reimbursement is critical to new medical product acceptance.</w:t>
      </w:r>
    </w:p>
    <w:p>
      <w:pPr>
        <w:spacing w:after="0" w:line="81" w:lineRule="exact"/>
        <w:rPr>
          <w:sz w:val="20"/>
          <w:szCs w:val="20"/>
          <w:color w:val="auto"/>
        </w:rPr>
      </w:pPr>
    </w:p>
    <w:p>
      <w:pPr>
        <w:ind w:right="100" w:firstLine="576"/>
        <w:spacing w:after="0" w:line="258" w:lineRule="auto"/>
        <w:rPr>
          <w:sz w:val="20"/>
          <w:szCs w:val="20"/>
          <w:color w:val="auto"/>
        </w:rPr>
      </w:pPr>
      <w:r>
        <w:rPr>
          <w:rFonts w:ascii="Times New Roman" w:cs="Times New Roman" w:eastAsia="Times New Roman" w:hAnsi="Times New Roman"/>
          <w:sz w:val="18"/>
          <w:szCs w:val="18"/>
          <w:color w:val="auto"/>
        </w:rPr>
        <w:t>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 Additionally, if any companion diagnostic provider is unable to obtain reimbursement or is inadequately reimbursed, that may limit the availability of such companion diagnostic, which could negatively impact prescriptions for our product candidates, if approved.</w:t>
      </w:r>
    </w:p>
    <w:p>
      <w:pPr>
        <w:spacing w:after="0" w:line="75" w:lineRule="exact"/>
        <w:rPr>
          <w:sz w:val="20"/>
          <w:szCs w:val="20"/>
          <w:color w:val="auto"/>
        </w:rPr>
      </w:pPr>
    </w:p>
    <w:p>
      <w:pPr>
        <w:jc w:val="both"/>
        <w:ind w:right="120" w:firstLine="576"/>
        <w:spacing w:after="0" w:line="254" w:lineRule="auto"/>
        <w:rPr>
          <w:sz w:val="20"/>
          <w:szCs w:val="20"/>
          <w:color w:val="auto"/>
        </w:rPr>
      </w:pPr>
      <w:r>
        <w:rPr>
          <w:rFonts w:ascii="Times New Roman" w:cs="Times New Roman" w:eastAsia="Times New Roman" w:hAnsi="Times New Roman"/>
          <w:sz w:val="18"/>
          <w:szCs w:val="18"/>
          <w:color w:val="auto"/>
        </w:rPr>
        <w:t>A primary trend in the U.S. healthcare industry and elsewhere is cost containment. Third-party payors have attempted to control costs by limiting coverage and the amount of reimbursement for particular medications. We cannot be sure that coverage and reimbursement will be available for any drug that we commercialize and, if reimbursement is available, what the level of reimbursement will be. For example, HHS imposes rebates on many Medicare Part B and Medicare Part D products to penalize price increases that outpace inflation on an annual basis. HHS has also been empowered to negotiate the price of certain single-source drugs that have been on the market for at least seven (7) years and biologics that have been on the market for at least eleven</w:t>
      </w:r>
    </w:p>
    <w:p>
      <w:pPr>
        <w:spacing w:after="0" w:line="3" w:lineRule="exact"/>
        <w:rPr>
          <w:sz w:val="20"/>
          <w:szCs w:val="20"/>
          <w:color w:val="auto"/>
        </w:rPr>
      </w:pPr>
    </w:p>
    <w:p>
      <w:pPr>
        <w:ind w:right="80" w:firstLine="8"/>
        <w:spacing w:after="0" w:line="253" w:lineRule="auto"/>
        <w:tabs>
          <w:tab w:leader="none" w:pos="34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covered under Medicare as part of the Medicare Drug Price Negotiation Program.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 Even if favorable coverage and reimbursement status is attained for one or more product candidates for which we receive regulatory approval, less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8" w:name="page59"/>
    <w:bookmarkEnd w:id="58"/>
    <w:p>
      <w:pPr>
        <w:spacing w:after="0" w:line="254" w:lineRule="auto"/>
        <w:rPr>
          <w:sz w:val="20"/>
          <w:szCs w:val="20"/>
          <w:color w:val="auto"/>
        </w:rPr>
      </w:pPr>
      <w:r>
        <w:rPr>
          <w:rFonts w:ascii="Times New Roman" w:cs="Times New Roman" w:eastAsia="Times New Roman" w:hAnsi="Times New Roman"/>
          <w:sz w:val="18"/>
          <w:szCs w:val="18"/>
          <w:color w:val="auto"/>
        </w:rPr>
        <w:t>favorable coverage policies and reimbursement rates may be implemented in the future. Inadequate coverage and reimbursement may impact the demand for, or the price of, any drug for which we obtain marketing approval. If coverage and adequate reimbursement are not available, or are available only to limited levels, we may not be able to successfully commercialize our current and any future product candidates that we develop.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products may be reduced compared with the United States and may be insufficient to generate commercially reasonable revenues and profits.</w:t>
      </w:r>
    </w:p>
    <w:p>
      <w:pPr>
        <w:spacing w:after="0" w:line="84" w:lineRule="exact"/>
        <w:rPr>
          <w:sz w:val="20"/>
          <w:szCs w:val="20"/>
          <w:color w:val="auto"/>
        </w:rPr>
      </w:pPr>
    </w:p>
    <w:p>
      <w:pPr>
        <w:ind w:right="100" w:firstLine="576"/>
        <w:spacing w:after="0" w:line="256" w:lineRule="auto"/>
        <w:rPr>
          <w:sz w:val="20"/>
          <w:szCs w:val="20"/>
          <w:color w:val="auto"/>
        </w:rPr>
      </w:pPr>
      <w:r>
        <w:rPr>
          <w:rFonts w:ascii="Times New Roman" w:cs="Times New Roman" w:eastAsia="Times New Roman" w:hAnsi="Times New Roman"/>
          <w:sz w:val="18"/>
          <w:szCs w:val="18"/>
          <w:color w:val="auto"/>
        </w:rPr>
        <w:t>In addition, our Non-Essential Amino Acid Restriction (“NEAAR”) program, which seeks to restrict patient intake of specific non-essential amino acids to suppress tumor growth, represents a novel therapeutic approach for which there is limited regulatory precedent. Dietary interventions are not subject to the same well-established regulatory approval pathways as pharmaceutical products, and it is unclear how the FDA or comparable foreign regulatory authorities would evaluate a dietary regimen as a component of a cancer treatment regimen. Even if we are able to generate clinical evidence supporting the use of NEAAR in combination with our other product candidates, third-party payors may be unwilling to provide coverage or reimbursement for a prescribed dietary intervention, which could limit patient adoption and reduce any potential commercial value of the program.</w:t>
      </w:r>
    </w:p>
    <w:p>
      <w:pPr>
        <w:spacing w:after="0" w:line="79" w:lineRule="exact"/>
        <w:rPr>
          <w:sz w:val="20"/>
          <w:szCs w:val="20"/>
          <w:color w:val="auto"/>
        </w:rPr>
      </w:pPr>
    </w:p>
    <w:p>
      <w:pPr>
        <w:ind w:right="180" w:firstLine="576"/>
        <w:spacing w:after="0" w:line="282" w:lineRule="auto"/>
        <w:rPr>
          <w:sz w:val="20"/>
          <w:szCs w:val="20"/>
          <w:color w:val="auto"/>
        </w:rPr>
      </w:pPr>
      <w:r>
        <w:rPr>
          <w:rFonts w:ascii="Times New Roman" w:cs="Times New Roman" w:eastAsia="Times New Roman" w:hAnsi="Times New Roman"/>
          <w:sz w:val="18"/>
          <w:szCs w:val="18"/>
          <w:color w:val="auto"/>
        </w:rPr>
        <w:t>We cannot be sure that coverage and reimbursement in the United States or elsewhere will be available for any product that we may develop, and any reimbursement that may become available may be decreased or eliminated in the future.</w:t>
      </w:r>
    </w:p>
    <w:p>
      <w:pPr>
        <w:spacing w:after="0" w:line="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operational and financial goals may not be attainable if the market opportunities for our products are smaller than we expect. Our internal research and third-party estimates may not accurately reflect the market opportunities for PIKTOR or our other product candidates today or in the future.</w:t>
      </w:r>
    </w:p>
    <w:p>
      <w:pPr>
        <w:spacing w:after="0" w:line="67" w:lineRule="exact"/>
        <w:rPr>
          <w:sz w:val="20"/>
          <w:szCs w:val="20"/>
          <w:color w:val="auto"/>
        </w:rPr>
      </w:pPr>
    </w:p>
    <w:p>
      <w:pPr>
        <w:ind w:right="20" w:firstLine="576"/>
        <w:spacing w:after="0" w:line="253" w:lineRule="auto"/>
        <w:rPr>
          <w:sz w:val="20"/>
          <w:szCs w:val="20"/>
          <w:color w:val="auto"/>
        </w:rPr>
      </w:pPr>
      <w:r>
        <w:rPr>
          <w:rFonts w:ascii="Times New Roman" w:cs="Times New Roman" w:eastAsia="Times New Roman" w:hAnsi="Times New Roman"/>
          <w:sz w:val="18"/>
          <w:szCs w:val="18"/>
          <w:color w:val="auto"/>
        </w:rPr>
        <w:t>The total market opportunities that we believe exist are based on a variety of assumptions and estimates, including the size of the addressable patient population in applicable jurisdictions, the penetration of other drugs in these markets, the number of potential companion diagnostic programs we will be able to successfully pursue, the amount of potential milestone payments that we could receive in companion diagnostic programs, the number of patients we will test in clinical trials, the price we will be able to charge for our products and the total annual number of cancer patients with undiagnosed abnormal cell signaling. In addition, we have relied on third-party publications, research, surveys and studies for information related to determining market opportunities, including without limitation, information on the number of cancer patients and those receiving various forms of treatment, the cost of drug therapy, the amount of revenue generated from various types of drug therapy, the objective response rates of drug therapies, the number of deaths caused by cancer and the expected growth in cancer drug therapy and diagnostic markets. Our internal research and estimates on market opportunities have been verified by independent sources, but any or all of our assumptions and/or estimates may prove to be incorrect for several reasons, such as inaccurate reports or information that we have relied on, potential patients or providers not being amenable to using our products or such patients becoming difficult to identify and access, limited reimbursement for our products, pricing pressure due to availability of alternative drugs or an inability to obtain the necessary regulatory approvals for new indications. If any or all of our assumptions and estimates prove inaccurate, we may not attain our business, operational and financial goals.</w:t>
      </w:r>
    </w:p>
    <w:p>
      <w:pPr>
        <w:spacing w:after="0" w:line="75"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67" w:lineRule="exact"/>
        <w:rPr>
          <w:sz w:val="20"/>
          <w:szCs w:val="20"/>
          <w:color w:val="auto"/>
        </w:rPr>
      </w:pPr>
    </w:p>
    <w:p>
      <w:pPr>
        <w:ind w:right="100" w:firstLine="576"/>
        <w:spacing w:after="0" w:line="261"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72" w:lineRule="exact"/>
        <w:rPr>
          <w:sz w:val="20"/>
          <w:szCs w:val="20"/>
          <w:color w:val="auto"/>
        </w:rPr>
      </w:pPr>
    </w:p>
    <w:p>
      <w:pPr>
        <w:ind w:right="160" w:firstLine="576"/>
        <w:spacing w:after="0" w:line="255"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product candidates to be reviewed and/or approved by necessary government agencies, which could adversely affect our business. For example, over the last several years, the U.S. government has shut down several times, and certain regulatory agencies, such as the FDA and the SEC, have had to furlough critical employees and stop critical activities. If a prolonged government shutdown occurs, or if global health concerns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9" w:name="page60"/>
    <w:bookmarkEnd w:id="59"/>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effective patent protection for our technology and product candidates, or if the scope of the patent protection obtained is not sufficiently broad, we may not be able to compete effectively in our markets</w:t>
      </w:r>
    </w:p>
    <w:p>
      <w:pPr>
        <w:spacing w:after="0" w:line="15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rely upon a combination of patents, trade secret protection, trademarks, and confidentiality agreements to protect the intellectual property related to our product candidates and development programs. Our success depends in large part on our ability to obtain and maintain patents and other intellectual property protection in the United States and in other countries with respect to various proprietary elements of our product candidates, such as, for example, our product formulations and processes for manufacturing our products and our ability to maintain and control the confidentiality of our trade secrets and confidential information critical to our business.</w:t>
      </w:r>
    </w:p>
    <w:p>
      <w:pPr>
        <w:spacing w:after="0" w:line="183"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We have sought to protect our proprietary position by filing patent applications in the United States and abroad related to our products that are important to our business. The patent prosecution process is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There is no guarantee that any patent application we file will result in an issued patent having claims that protect our products; and, as a result, we may not be able to effectively prevent others from commercializing competitive products. Additionally, while the basic requirements for patentability are similar across jurisdictions, each jurisdiction has its own specific requirements for patentability. We cannot guarantee that we will obtain identical or similar patent protection covering our products in all jurisdictions where we file patent applications. If the patent applications we hold or have in-licensed with respect to our development programs and product candidates fail to issue, if their breadth or strength of protection is threatened, or if they fail to provide meaningful exclusivity for any product candidate, it could dissuade companies from collaborating with us to develop product candidates and threaten our ability to commercialize any product candidates that are approved. Any such outcome could have a materially adverse effect on our business.</w:t>
      </w:r>
    </w:p>
    <w:p>
      <w:pPr>
        <w:spacing w:after="0" w:line="192" w:lineRule="exact"/>
        <w:rPr>
          <w:sz w:val="20"/>
          <w:szCs w:val="20"/>
          <w:color w:val="auto"/>
        </w:rPr>
      </w:pPr>
    </w:p>
    <w:p>
      <w:pPr>
        <w:jc w:val="both"/>
        <w:ind w:right="20" w:firstLine="374"/>
        <w:spacing w:after="0" w:line="254" w:lineRule="auto"/>
        <w:rPr>
          <w:sz w:val="20"/>
          <w:szCs w:val="20"/>
          <w:color w:val="auto"/>
        </w:rPr>
      </w:pPr>
      <w:r>
        <w:rPr>
          <w:rFonts w:ascii="Times New Roman" w:cs="Times New Roman" w:eastAsia="Times New Roman" w:hAnsi="Times New Roman"/>
          <w:sz w:val="18"/>
          <w:szCs w:val="18"/>
          <w:color w:val="auto"/>
        </w:rPr>
        <w:t>The patents and patent applications that we own or in-license may fail to result in issued patents with claims that protect our present and future product candidates in the United States or in other foreign countries. There is no assurance that all of the potentially relevant prior art relating to our patents and patent applications has been found, which can prevent a patent from issuing from a pending patent application, or be used to invalidate a patent. Even if patents do successfully issue and even if such patents cover our present or future product candidates, third parties may challenge their validity, enforceability or scope, which may result in such patents being narrowed, invalidated or held unenforceable. Any successful opposition to these patents or any other patents owned by or licensed to us could deprive us of rights necessary for the successful commercialization of any present or future product candidates or methods of using such. Further, if we encounter delays in regulatory approvals, the period of time during which we could market a product candidate under patent protection could be reduced.</w:t>
      </w:r>
    </w:p>
    <w:p>
      <w:pPr>
        <w:spacing w:after="0" w:line="192"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patent position of biopharmaceutical companies are generally uncertain and involve complex legal and factual questions and has been and will continue to be the subject of litigation and new legislation. In addition, the laws of foreign countries may not protect our rights to the same extent as the laws of the United States. For example, many countries restrict the patentability of methods of treatment of the human body. Publications of discoveries in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 to file for patent protection of such inventions. As a result of these and other factors, the issuance, scope, validity, enforceability and commercial value of our patent rights are uncertain. The pending patent applications that we own or license may fail to result in issued patents with claims that cover our product candidates in the United States or in other countries for many reasons.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 There is no assurance that all potentially relevant prior art relating to our patents and patent applications has been found, considered or cited during patent prosecution, which can be used to invalidate a patent or prevent a patent from issuing from a pending patent application.</w:t>
      </w:r>
    </w:p>
    <w:p>
      <w:pPr>
        <w:spacing w:after="0" w:line="18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Moreover, we have in the past, and may in the future be subject to a third-party pre-issuance submission of prior art to the USPTO. We may also become involved in opposition, derivation, reexamination, inter partes review, post-grant review or interference proceedings challenging our patent rights or the patent rights of others. For example, patents granted by the European Patent Office may be opposed by any person within nine months from the publication of their grant and, in addition, may be challenged before national courts at any time. The costs of defending our patents or enforcing our proprietary rights in post-issuance administrative proceedings and litigation can be substantial and the outcome can be uncertain.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0" w:name="page61"/>
    <w:bookmarkEnd w:id="60"/>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Furthermore, even if they are unchallenged, our patents and patent applications may not adequately protect our intellectual property, provide exclusivity for our product candidates or prevent others from designing around our claims. Any of these outcomes could impair our ability to prevent competitors from using the technologies claimed in any patents issued to us, which may have an adverse impact on our business. If the breadth or strength of protection provided by the patents and patent applications we hold, license or pursue with respect to our product candidates is threatened, it could threaten our ability to prevent third parties from using the same technologies that we use in our product candidates.</w:t>
      </w:r>
    </w:p>
    <w:p>
      <w:pPr>
        <w:spacing w:after="0" w:line="183"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owned and 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Generally, issued patents are granted a term of 20 years from the earliest claimed non-provisional filing date. In certain instances, patent term can be adjusted to recapture a portion of delay by the USPTO in examining the patent application (patent term adjustment) or extended to account for term effectively lost as a result of the FDA regulatory review period (patent term extension), or both. The scope of patent protection may also be limited. Without patent protection for our current or future product candidates, we may be open to competition from generic versions of such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192"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Method of use patents protect the use of a product for the specified method or indication. In the absence of separate composition of matter protection, this type of patent does not prevent a competitor from making and marketing a product that is identical to our product candidate(s) for an indication that is outside of the methods of use claimed in our patents. Moreover, even if competitor products are not approved for use in our patented indications, and our competitors do not actively promote their products for indications that are covered by our patents, clinicians may prescribe these competitor products “off-label.” Although off-label prescriptions may infringe or contribute to the infringement of method of use patents, such infringement is difficult to prevent or prosecute.</w:t>
      </w:r>
    </w:p>
    <w:p>
      <w:pPr>
        <w:spacing w:after="0" w:line="18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patents or may incorrectly interpret the relevance, scope or expiration of a patent, which might adversely affect our ability to develop and market our products.</w:t>
      </w:r>
    </w:p>
    <w:p>
      <w:pPr>
        <w:spacing w:after="0" w:line="15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cannot guarantee that patent searches, including the identification of relevant patents, the scope of patent claims or the expiration of relevant patents, are complete and thorough, nor can we be certain that we have identified each and every patent and pending application in the United States and abroad that is relevant to or necessary for the commercialization of our product candidates in any jurisdiction.</w:t>
      </w:r>
    </w:p>
    <w:p>
      <w:pPr>
        <w:spacing w:after="0" w:line="176"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or pipeline candidates. We may incorrectly determine that our products are not covered by a third-party patent. Further, we may conclude that a well-informed court or other tribunal would find the claims of a relevant third-party patent to be invalid based on prior art, enablement, written description, or other ground, and that conclusion may be incorrect, which may negatively impact our ability to market our products or pipeline molecules.</w:t>
      </w:r>
    </w:p>
    <w:p>
      <w:pPr>
        <w:spacing w:after="0" w:line="183"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Many patents may cover a marketed product, including the composition of the product, methods of use, formulations, cell line constructs, vectors, growth media, production processes and purification processes. The identification of all patents and their expiration dates relevant to the production and sale of a reference product is extraordinarily complex and requires sophisticated legal knowledge in the relevant jurisdiction. It may be impossible to identify all patents in all jurisdictions relevant to a marketed product. We may not identify all relevant patents, or incorrectly determine their expiration dates, which may negatively impact our ability to develop and market our products.</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Failure to identify and correctly interpret relevant patents may negatively impact our ability to develop, market and commercialize our products.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law or the patent law of other countries or jurisdictions could diminish the value of patents in general, thereby impairing our ability to protect our product candidates.</w:t>
      </w:r>
    </w:p>
    <w:p>
      <w:pPr>
        <w:spacing w:after="0" w:line="15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United States has enacted and implemented wide-ranging patent reform legislation.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1" w:name="page62"/>
    <w:bookmarkEnd w:id="61"/>
    <w:p>
      <w:pPr>
        <w:jc w:val="both"/>
        <w:spacing w:after="0" w:line="261" w:lineRule="auto"/>
        <w:rPr>
          <w:sz w:val="20"/>
          <w:szCs w:val="20"/>
          <w:color w:val="auto"/>
        </w:rPr>
      </w:pPr>
      <w:r>
        <w:rPr>
          <w:rFonts w:ascii="Times New Roman" w:cs="Times New Roman" w:eastAsia="Times New Roman" w:hAnsi="Times New Roman"/>
          <w:sz w:val="18"/>
          <w:szCs w:val="18"/>
          <w:color w:val="auto"/>
        </w:rPr>
        <w:t>Congress, the federal courts and the USPTO, the laws and regulations governing patents could change in unpredictable ways that would weaken our ability to obtain new patents or to enforce patents that we have licensed or that we might obtain in the future. For example, recent decisions raise questions regarding the award of patent term adjustment, or PTA, for patents in families where related patents have issued without PTA. Thus, it cannot be said with certainty how PTA will/will not be viewed in future and whether patent expiration dates may be impacted.</w:t>
      </w:r>
    </w:p>
    <w:p>
      <w:pPr>
        <w:spacing w:after="0" w:line="72"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For example, the complexity and uncertainty of European patent laws have also increased in recent years. In Europe, a new unitary patent system took effect on June 1, 2023, which will significantly impact European patents, including those granted before the introduction of such a system. Under the unitary patent system, all European patents, including those issued prior to June 1, 2023, now by default automatically fall under the jurisdiction of a new European Unified Patent Court, or the UPC, for litigation involving such patents. As the UPC is a relatively new court system, there is uncertainty regarding litigation at the UPC. Our European patent applications, if issued, could be challenged in the UPC. During the first seven years of the UPC’s existence, the UPC legislation allows a patent owner to opt its European patents out of the jurisdiction of the UPC. We may decide to opt out our future European patents from the UPC, but doing so may preclude us from realizing the benefits of the UPC. Moreover, if we do not meet all of the formalities and requirements for opt-out under the UPC, our future European patents could remain under the jurisdiction of the UPC. The UPC will provide our competitors with a new forum to centrally revoke our European patents and allow for the possibility of a competitor to obtain a pan-European injunction. It is uncertain how the UPC will impact granted European patents in the pharmaceutical industry.</w:t>
      </w:r>
    </w:p>
    <w:p>
      <w:pPr>
        <w:spacing w:after="0" w:line="82"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Additionally, recent reforms and changes at government agencies of the United States and those of non-U.S. jurisdictions could increase the uncertainties and costs surrounding the prosecution or maintenance of our patent applications, and the maintenance, enforcement, or defense of our issued patents. For example, the ability of the USPTO and other applicable patent authorities to properly administer their functions is highly dependent on the levels of funding available to the agency and their ability to retain key personnel and fill key leadership appointments, among various factors. Termination of employees or delays in replacing or hiring for key positions could significantly impact the ability of the USPTO and other applicable patent authorities to fulfill their functions and could greatly impact our ability to timely and adequately prosecute or maintain our patent applications, and our ability to timely and adequately maintain, enforce, or defend our issued patents.</w:t>
      </w:r>
    </w:p>
    <w:p>
      <w:pPr>
        <w:spacing w:after="0" w:line="2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Third-party claims or litigation alleging infringement of patents or other proprietary rights, or seeking to invalidate our patents or other proprietary rights, may delay or prevent our development and commercialization efforts.</w:t>
      </w:r>
    </w:p>
    <w:p>
      <w:pPr>
        <w:spacing w:after="0" w:line="15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Our commercial success depends in part on avoiding infringement of the patents and proprietary rights of third parties. There is a substantial amount of litigation, both within and outside the United States, involving patent and other intellectual property rights in the pharmaceutical industry, including patent infringement lawsuits, interferences, reexamination, derivation and administrative law proceedings, inter partes review and post-grant review before the USPTO, as well as oppositions and similar processes in foreign jurisdictions. Numerous U.S. and foreign issued patents and pending patent applications, which are owned by third parties, exist in the fields in which we are developing product candidates. As the biopharmaceutical industry expands and more patents are issued, the risk increases that our product candidates or other business activities may be subject to claims of infringement of the patent rights of third parties. Third parties may assert that we are employing their proprietary technology without authorization.</w:t>
      </w:r>
    </w:p>
    <w:p>
      <w:pPr>
        <w:spacing w:after="0" w:line="18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There may be third-party patents or patent applications with claims to compositions, formulations, methods of manufacture or methods for treatment related to the use or manufacture of our product candidates. Moreover, because patent applications can take many years to issue, there may be currently pending patent applications that may later result in issued patents covering our product candidates. The existence of any patent with valid and enforceable claims covering one or more of our product candidates could cause substantial delays in our ability to introduce a candidate into the U.S. market if the term of such patent extends beyond our desired product launch date.</w:t>
      </w:r>
    </w:p>
    <w:p>
      <w:pPr>
        <w:spacing w:after="0" w:line="183"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There may also be patent applications that have been filed but not published and if such applications issue as patents, they could be asserted against us. For example, in most cases, a patent filed today would not become known to industry participants for at least 18 months given patent rules applicable in most jurisdictions that do not require publication of patent applications until 18 months after filing.</w:t>
      </w:r>
    </w:p>
    <w:p>
      <w:pPr>
        <w:spacing w:after="0" w:line="176"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 addition, third parties may obtain patent rights in the future and claim that use of our technologies infringes upon these rights. If any third-party patents were held by a court of competent jurisdiction to cover the manufacturing process of any of our product candidates, any molecules formed during the manufacturing process or any final product itself, the holders of any such patents may be able to block our ability to commercialize such product candidate unless we obtained a license under the applicable patents, or until such patents expire. Similarly, if any third-party patent were held by a court of competent jurisdiction to cover aspects of our formulations,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2" w:name="page63"/>
    <w:bookmarkEnd w:id="62"/>
    <w:p>
      <w:pPr>
        <w:jc w:val="both"/>
        <w:spacing w:after="0" w:line="266" w:lineRule="auto"/>
        <w:rPr>
          <w:sz w:val="20"/>
          <w:szCs w:val="20"/>
          <w:color w:val="auto"/>
        </w:rPr>
      </w:pPr>
      <w:r>
        <w:rPr>
          <w:rFonts w:ascii="Times New Roman" w:cs="Times New Roman" w:eastAsia="Times New Roman" w:hAnsi="Times New Roman"/>
          <w:sz w:val="18"/>
          <w:szCs w:val="18"/>
          <w:color w:val="auto"/>
        </w:rPr>
        <w:t>processes for manufacture or methods of use, the holders of any such patent may be able to block our ability to develop and commercialize the applicable product candidate unless we obtained a license or until such patent expires. In either case, such a license may not be available on commercially reasonable terms.</w:t>
      </w:r>
    </w:p>
    <w:p>
      <w:pPr>
        <w:spacing w:after="0" w:line="176"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Furthermore, pending patent applications that have been published can, subject to certain limitations, be later amended in a manner that could cover our technologies, product candidate(s), or the use of our product candidate(s). As such, there may be applications of others now pending or recently revived patents of which we are unaware. These patent applications may later result in issued patents, or the revival of previously abandoned patents, that may be infringed by the manufacture, use, or sale of our technologies or product candidate(s) or will prevent, limit, or otherwise interfere with our ability to make, use, or sell our technologies and product candidate(s).</w:t>
      </w:r>
    </w:p>
    <w:p>
      <w:pPr>
        <w:spacing w:after="0" w:line="183"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infringement or other intellectual property claim against us, we may have to pay substantial damages, including treble damages and attorneys’ fees for willful infringement, obtain one or more licenses from third parties, pay royalties or redesign our affected products, which may be impossible or require substantial time and monetary expenditure. We cannot predict whether any such license would be available at all or whether it would be available on commercially reasonable terms.</w:t>
      </w:r>
    </w:p>
    <w:p>
      <w:pPr>
        <w:spacing w:after="0" w:line="187"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In addition to infringement claims against us, we may become a party to other patent litigation and other proceedings, including interference, derivation or post-grant proceedings declared or granted by the USPTO and similar proceedings in foreign countries, regarding intellectual property rights with respect to our products. An unfavorable outcome in any such proceedings could require us to cease using the related technology or to attempt to license rights to it from the prevailing party or could cause us to lose valuable intellectual property rights. Our business could be harmed if the prevailing party does not offer us a license on commercially reasonable terms, if any license is offered at all. Litigation or other proceedings may fail and, even if successful, may result in substantial costs and distract our management and other employees. We may also become involved in disputes with others regarding the ownership of intellectual property rights.</w:t>
      </w:r>
    </w:p>
    <w:p>
      <w:pPr>
        <w:spacing w:after="0" w:line="18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Third parties may submit applications for patent term extensions in the United States or other jurisdictions where similar extensions are available and/or Supplementary Protection Certificates in the EU states seeking to extend certain patent protection that, if approved, may interfere with or delay the launch of one or more of our product candidates.</w:t>
      </w:r>
    </w:p>
    <w:p>
      <w:pPr>
        <w:spacing w:after="0" w:line="176"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cost to us of any patent litigation or other proceeding, even if resolved in our favor, could be substantial. Patent litigation and other proceedings may fail, and even if successful, may result in substantial costs and distract our management and other employees. Uncertainties resulting from the initiation and continuation of patent litigation or other proceedings could impair our ability to compete in the marketplace.</w:t>
      </w:r>
    </w:p>
    <w:p>
      <w:pPr>
        <w:spacing w:after="0" w:line="176"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Furthermore, as the patent landscape is crowded and highly competitive, even in the absence of litigation we may need to obtain licenses from third parties to advance our research or allow commercialization of our product candidates. We may fail to obtain any of these licenses at a reasonable cost or on reasonable terms, if at all. Even if we are able to obtain a license, it may be non-exclusive, which means that our competitors may also receive access to the same technologies licensed to us. In that event, we may face commercial competition, which could harm our business. We cannot provide any assurances that third-party patents do not exist which might be enforced against product candidates resulting in either an injunction prohibiting our sales, or, with respect to our sales, an obligation on our part to pay royalties or other forms of compensation to third parties.</w:t>
      </w:r>
    </w:p>
    <w:p>
      <w:pPr>
        <w:spacing w:after="0" w:line="183"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license intellectual property from third parties, and such licenses may not be available or may not be available on commercially reasonable terms.</w:t>
      </w:r>
    </w:p>
    <w:p>
      <w:pPr>
        <w:spacing w:after="0" w:line="51" w:lineRule="exact"/>
        <w:rPr>
          <w:sz w:val="20"/>
          <w:szCs w:val="20"/>
          <w:color w:val="auto"/>
        </w:rPr>
      </w:pPr>
    </w:p>
    <w:p>
      <w:pPr>
        <w:ind w:right="40" w:firstLine="576"/>
        <w:spacing w:after="0" w:line="258" w:lineRule="auto"/>
        <w:rPr>
          <w:sz w:val="20"/>
          <w:szCs w:val="20"/>
          <w:color w:val="auto"/>
        </w:rPr>
      </w:pPr>
      <w:r>
        <w:rPr>
          <w:rFonts w:ascii="Times New Roman" w:cs="Times New Roman" w:eastAsia="Times New Roman" w:hAnsi="Times New Roman"/>
          <w:sz w:val="18"/>
          <w:szCs w:val="18"/>
          <w:color w:val="auto"/>
        </w:rPr>
        <w:t>A third party may hold intellectual property rights, including patent rights, that are important or necessary to the development or manufacture of our product candidates. It may be necessary for us to use the patented or proprietary technology of third parties to commercialize our product candidates, in which case we would be required to obtain a license from these third parties. Such a license may not be available on commercially reasonable terms, or at all, and we could be forced to accept unfavorable contractual terms. If we are unable to obtain such licenses on commercially reasonable terms, our business could be harmed.</w:t>
      </w:r>
    </w:p>
    <w:p>
      <w:pPr>
        <w:spacing w:after="0" w:line="75" w:lineRule="exact"/>
        <w:rPr>
          <w:sz w:val="20"/>
          <w:szCs w:val="20"/>
          <w:color w:val="auto"/>
        </w:rPr>
      </w:pPr>
    </w:p>
    <w:p>
      <w:pPr>
        <w:ind w:right="160" w:firstLine="576"/>
        <w:spacing w:after="0" w:line="258" w:lineRule="auto"/>
        <w:rPr>
          <w:sz w:val="20"/>
          <w:szCs w:val="20"/>
          <w:color w:val="auto"/>
        </w:rPr>
      </w:pPr>
      <w:r>
        <w:rPr>
          <w:rFonts w:ascii="Times New Roman" w:cs="Times New Roman" w:eastAsia="Times New Roman" w:hAnsi="Times New Roman"/>
          <w:sz w:val="18"/>
          <w:szCs w:val="18"/>
          <w:color w:val="auto"/>
        </w:rPr>
        <w:t>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larger size and cash resources or greater clinical development and commercialization capabilities. We may not be able to successfully complete such negotiations and ultimately acquire the rights to the intellectual property surrounding the additional product candidates that we may seek to acquire.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3" w:name="page64"/>
    <w:bookmarkEnd w:id="63"/>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develop or license intellectual property for which development was funded or otherwise assisted by, the U.S. government and/or government agencies, such as the National Institutes of Health, for development of our technology and product candidates. Failure to meet our own obligations to future licensors or upstream licensors, including such government agencies, may result in the loss of our rights to such intellectual property, which could harm our business.</w:t>
      </w:r>
    </w:p>
    <w:p>
      <w:pPr>
        <w:spacing w:after="0" w:line="180" w:lineRule="exact"/>
        <w:rPr>
          <w:sz w:val="20"/>
          <w:szCs w:val="20"/>
          <w:color w:val="auto"/>
        </w:rPr>
      </w:pPr>
    </w:p>
    <w:p>
      <w:pPr>
        <w:jc w:val="both"/>
        <w:ind w:firstLine="374"/>
        <w:spacing w:after="0" w:line="218" w:lineRule="exact"/>
        <w:rPr>
          <w:sz w:val="20"/>
          <w:szCs w:val="20"/>
          <w:color w:val="auto"/>
        </w:rPr>
      </w:pPr>
      <w:r>
        <w:rPr>
          <w:rFonts w:ascii="Times New Roman" w:cs="Times New Roman" w:eastAsia="Times New Roman" w:hAnsi="Times New Roman"/>
          <w:sz w:val="18"/>
          <w:szCs w:val="18"/>
          <w:color w:val="auto"/>
        </w:rPr>
        <w:t>The U.S. government and/or government agencies may provide funding, facilities, personnel, or other assistance in connection with the development of the intellectual property rights owned by or licensed to us. The U.S. government and/or government agencies may retain rights in such intellectual property, including the right to grant or require us to grant mandatory licenses or sublicenses to such intellectual property to third parties under certain specified circumstances, including if it is necessary to meet health and safety needs that we are not reasonably satisfying or if it is necessary to meet requirements for public use specified by federal regulations, or to manufacture products in the United States. Any exercise of such rights, including with respect to any such required sublicense of these licenses, could result in the loss of significant rights and could harm our ability to commercialize licensed products. For example, research resulting in future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licensed patent rights and technology that was funded in part by the U.S. government could result in the government having certain rights, or march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 rights, to such patent rights and technology which may permit the government to disclose our confidential information to third parties and to exercise march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 rights to use or allow third parties to use our licensed technology, potentially on unfavorable terms or without adequate compensation.</w:t>
      </w:r>
    </w:p>
    <w:p>
      <w:pPr>
        <w:spacing w:after="0" w:line="19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the patents of our licensors or our other intellectual property rights, which could be expensive, time-consuming and unsuccessful.</w:t>
      </w:r>
    </w:p>
    <w:p>
      <w:pPr>
        <w:spacing w:after="0" w:line="51" w:lineRule="exact"/>
        <w:rPr>
          <w:sz w:val="20"/>
          <w:szCs w:val="20"/>
          <w:color w:val="auto"/>
        </w:rPr>
      </w:pPr>
    </w:p>
    <w:p>
      <w:pPr>
        <w:ind w:firstLine="576"/>
        <w:spacing w:after="0" w:line="251" w:lineRule="auto"/>
        <w:rPr>
          <w:sz w:val="20"/>
          <w:szCs w:val="20"/>
          <w:color w:val="auto"/>
        </w:rPr>
      </w:pPr>
      <w:r>
        <w:rPr>
          <w:rFonts w:ascii="Times New Roman" w:cs="Times New Roman" w:eastAsia="Times New Roman" w:hAnsi="Times New Roman"/>
          <w:sz w:val="18"/>
          <w:szCs w:val="18"/>
          <w:color w:val="auto"/>
        </w:rPr>
        <w:t>Competitors may infringe or otherwise violate our patents, the patents of our licensors or our other intellectual property rights. To counter infringement or unauthorized use, we may be required to file legal claims, which can be expensive and time-consuming. In addition,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 The initiation of a claim against a third party may also cause the third party to bring counter claims against us such as claims asserting that our patents are invalid and/or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non-enablement, written description, or lack of patentable subject matter. Grounds for an unenforceability assertion could be an allegation that someone connected with the prosecution of the patent withheld relevant material information from the USPTO or made a materially misleading statement during prosecution. Third parties may also raise similar validity claims before the USPTO in post-grant proceedings such as ex parte reexaminations, inter partes review or post-grant review, or oppositions or similar proceedings outside the United States, in parallel with litigation or even outside the context of litigation. Because of a lower evidentiary standard in these USPTO post-grant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The outcome following legal assertions of invalidity and unenforceability is unpredictable, and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and decide that we do not have the right to stop the other party from using the invention at issue on the grounds that our patent claims do not cover the invention or that the other party’s use of our patented technology falls under the safe harbor to patent infringement under 35 U.S.C. § 271(e)(1).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Any of these occurrences could adversely affect our competitive business position, business prospects and financial condition. Even if we establish infringement, the court may decide not to grant an injunction against further infringing activity and instead award only monetary damages, which may or may not be an adequate remedy.</w:t>
      </w:r>
    </w:p>
    <w:p>
      <w:pPr>
        <w:spacing w:after="0" w:line="9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cannot be certain that there is no invalidating prior art, of which we and the patent examiner were unaware during prosecution. For the patents and patent applications that we have licensed, we may have limited or no right to participate in the defense of any licensed patents against challenge by a third party. If a defendant were to prevail on a legal assertion of invalidity or unenforceability, we would lose at least part, and perhaps all, of any future patent protection on our current or future product candidates. Such a loss of patent protection could harm our business.</w:t>
      </w:r>
    </w:p>
    <w:p>
      <w:pPr>
        <w:spacing w:after="0" w:line="180"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may not be able to prevent, alone or with our licensors, misappropriation of our intellectual property rights, particularly in countries where the laws may not protect those rights as fully as in the United States. Our business could be harmed if in litigation the prevailing party does not offer us a license on commercially reasonable terms. Any litigation or other proceedings to enforce our intellectual property rights may fail, and even if successful, may result in substantial costs and distract our management and other employees.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4" w:name="page65"/>
    <w:bookmarkEnd w:id="64"/>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76"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market price of common shares. Moreover, there can be no assurance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spacing w:after="0" w:line="18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15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We employ individuals and retain independent contractors and consultants who were previously employed at universities or other pharmaceutical companies, including our competitors or potential competitors. Although we seek to protect our ownership of intellectual property rights by ensuring that our agreements with our employees, independent contractors, consultants, collaborators and other third parties with whom we do business include provisions requiring such parties to assign rights in inventions to us, we may be subject to claims that we or our employees, consultants or independent contractors have inadvertently or otherwise used or disclosed confidential information of such persons’ former companies or other third parties. We may also be subject to claims that such persons or other third parties have an ownership interest in our intellectual property. Litigation may be necessary to defend against these claims. There is no guarantee of success in defending these claims, and if we fail in defending any such claims, in addition to paying monetary damages, we may lose valuable intellectual property rights, such as exclusive ownership of, or right to use, valuable intellectual property. Even if we are successful in defending against such claims, litigation could result in substantial costs and be a distraction to management and other employees.</w:t>
      </w:r>
    </w:p>
    <w:p>
      <w:pPr>
        <w:spacing w:after="0" w:line="188"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In addition, while we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asserting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senior management and scientific personnel.</w:t>
      </w:r>
    </w:p>
    <w:p>
      <w:pPr>
        <w:spacing w:after="0" w:line="18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the agreements under which we license intellectual property and other rights from third parties or otherwise experience disruptions to our business relationships with our licensors, we could lose license rights that are important to our business.</w:t>
      </w:r>
    </w:p>
    <w:p>
      <w:pPr>
        <w:spacing w:after="0" w:line="15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We are party to certain license agreements (e.g. with Takeda and The Regents) pursuant to which we were granted rights to intellectual property in connection with the development, manufacture and commercialization of certain product candidates. If we fail to comply with our obligations under these agreements or if we are subject to a bankruptcy, we may be required to make certain payments to the licensor of our license or the licensor may have the right to terminate the license, and in the event of termination we may not be able to develop or market products covered by the license. In the event we breach any of our obligations under these agreements, we may incur significant liability to our research and licensing partners. Disputes may arise regarding intellectual property subject to a licensing agreement, including:</w:t>
      </w:r>
    </w:p>
    <w:p>
      <w:pPr>
        <w:spacing w:after="0" w:line="187" w:lineRule="exact"/>
        <w:rPr>
          <w:sz w:val="20"/>
          <w:szCs w:val="20"/>
          <w:color w:val="auto"/>
        </w:rPr>
      </w:pPr>
    </w:p>
    <w:p>
      <w:pPr>
        <w:ind w:left="760" w:hanging="367"/>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760" w:hanging="367"/>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on intellectual property of the licensor that is not subject to the licensing agreement;</w:t>
      </w:r>
    </w:p>
    <w:p>
      <w:pPr>
        <w:spacing w:after="0" w:line="117" w:lineRule="exact"/>
        <w:rPr>
          <w:rFonts w:ascii="Times New Roman" w:cs="Times New Roman" w:eastAsia="Times New Roman" w:hAnsi="Times New Roman"/>
          <w:sz w:val="18"/>
          <w:szCs w:val="18"/>
          <w:color w:val="auto"/>
        </w:rPr>
      </w:pPr>
    </w:p>
    <w:p>
      <w:pPr>
        <w:ind w:left="760" w:hanging="367"/>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patents and other rights;</w:t>
      </w:r>
    </w:p>
    <w:p>
      <w:pPr>
        <w:spacing w:after="0" w:line="117" w:lineRule="exact"/>
        <w:rPr>
          <w:rFonts w:ascii="Times New Roman" w:cs="Times New Roman" w:eastAsia="Times New Roman" w:hAnsi="Times New Roman"/>
          <w:sz w:val="18"/>
          <w:szCs w:val="18"/>
          <w:color w:val="auto"/>
        </w:rPr>
      </w:pPr>
    </w:p>
    <w:p>
      <w:pPr>
        <w:ind w:left="760" w:hanging="367"/>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117" w:lineRule="exact"/>
        <w:rPr>
          <w:rFonts w:ascii="Times New Roman" w:cs="Times New Roman" w:eastAsia="Times New Roman" w:hAnsi="Times New Roman"/>
          <w:sz w:val="18"/>
          <w:szCs w:val="18"/>
          <w:color w:val="auto"/>
        </w:rPr>
      </w:pPr>
    </w:p>
    <w:p>
      <w:pPr>
        <w:ind w:left="760" w:hanging="367"/>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our collaborators;</w:t>
      </w:r>
    </w:p>
    <w:p>
      <w:pPr>
        <w:spacing w:after="0" w:line="117" w:lineRule="exact"/>
        <w:rPr>
          <w:rFonts w:ascii="Times New Roman" w:cs="Times New Roman" w:eastAsia="Times New Roman" w:hAnsi="Times New Roman"/>
          <w:sz w:val="18"/>
          <w:szCs w:val="18"/>
          <w:color w:val="auto"/>
        </w:rPr>
      </w:pPr>
    </w:p>
    <w:p>
      <w:pPr>
        <w:ind w:left="760" w:hanging="367"/>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5" w:name="page66"/>
    <w:bookmarkEnd w:id="65"/>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If disputes over intellectual property and other rights that we have licensed prevent or impair our ability to maintain our current licensing arrangements on acceptable terms, we may be unable to successfully develop and commercialize the affected product candidates and that could harm our business.</w:t>
      </w:r>
    </w:p>
    <w:p>
      <w:pPr>
        <w:spacing w:after="0" w:line="176"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 addition, our license agreements do, and we expect that future license agreements will, impose various diligence, milestone payment, royalty, insurance and/or other obligations on us. If we breach any material obligations, or use the intellectual property licensed to us in an unauthorized manner, we may be required to pay damages and the licensor(s) may have the right to terminate the license, which could result in us being unable to develop, manufacture and sell products that are covered by the licensed technology or enable a competitor to gain access to the licensed technology, and could compromise our development and commercialization efforts for our product candidates.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 filings and other intellectual property.</w:t>
      </w:r>
    </w:p>
    <w:p>
      <w:pPr>
        <w:spacing w:after="0" w:line="22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We may in the future be subject to claims that former employees, collaborators or other third parties have an interest in our patent applications or patents we may be granted or other intellectual property as an inventor or co-inventor. For example, we may have inventorship or ownership disputes arise from conflicting obligations of consultants or others who are involved in developing our product candidates.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harm our business. Even if we are successful in defending against such claims, litigation could result in substantial costs and be a distraction to management and other employees.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trademarks we may obtain may be infringed or successfully challenged, resulting in harm to our business.</w:t>
      </w:r>
    </w:p>
    <w:p>
      <w:pPr>
        <w:spacing w:after="0" w:line="121" w:lineRule="exact"/>
        <w:rPr>
          <w:sz w:val="20"/>
          <w:szCs w:val="20"/>
          <w:color w:val="auto"/>
        </w:rPr>
      </w:pPr>
    </w:p>
    <w:p>
      <w:pPr>
        <w:ind w:right="120" w:firstLine="576"/>
        <w:spacing w:after="0" w:line="256" w:lineRule="auto"/>
        <w:rPr>
          <w:sz w:val="20"/>
          <w:szCs w:val="20"/>
          <w:color w:val="auto"/>
        </w:rPr>
      </w:pPr>
      <w:r>
        <w:rPr>
          <w:rFonts w:ascii="Times New Roman" w:cs="Times New Roman" w:eastAsia="Times New Roman" w:hAnsi="Times New Roman"/>
          <w:sz w:val="18"/>
          <w:szCs w:val="18"/>
          <w:color w:val="auto"/>
        </w:rPr>
        <w:t>We expect to rely on trademarks as one means to distinguish any of our product candidates that are approved for marketing from the products of our competitors. We have not yet selected trademarks for our product candidates and have not yet begun the process of applying to register trademarks for our product candidates. Once we select trademarks and apply to register them, our trademark applications may not be approved. Third parties may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Our competitors may infringe our trademarks and we may not have adequate resources to enforce our trademarks.</w:t>
      </w:r>
    </w:p>
    <w:p>
      <w:pPr>
        <w:spacing w:after="0" w:line="79" w:lineRule="exact"/>
        <w:rPr>
          <w:sz w:val="20"/>
          <w:szCs w:val="20"/>
          <w:color w:val="auto"/>
        </w:rPr>
      </w:pPr>
    </w:p>
    <w:p>
      <w:pPr>
        <w:ind w:right="220" w:firstLine="576"/>
        <w:spacing w:after="0" w:line="258" w:lineRule="auto"/>
        <w:rPr>
          <w:sz w:val="20"/>
          <w:szCs w:val="20"/>
          <w:color w:val="auto"/>
        </w:rPr>
      </w:pPr>
      <w:r>
        <w:rPr>
          <w:rFonts w:ascii="Times New Roman" w:cs="Times New Roman" w:eastAsia="Times New Roman" w:hAnsi="Times New Roman"/>
          <w:sz w:val="18"/>
          <w:szCs w:val="18"/>
          <w:color w:val="auto"/>
        </w:rPr>
        <w:t>In addition, any proprietary name we propose to use with our product candidates or any other product candidate in the United States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w:t>
      </w:r>
    </w:p>
    <w:p>
      <w:pPr>
        <w:spacing w:after="0" w:line="7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159"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While we have filed patent applications to protect certain aspects of our own proprietary formulation and process developments, we also rely on trade secret protection and confidentiality agreements to protect proprietary scientific, business and technical information and know-how that is not or may not be patentable or that we elect not to patent. However, confidential information and trade secrets can be difficult to protect. We may need to share our trade secrets and proprietary know-how with current or future partners, collaborators, contractors, and others located in countries at heightened risk of theft of trade secrets, including through direct intrusion by private parties or foreign actors, and those affiliated with or controlled by state actors. Moreover, the information embodied in our trade secrets and confidential information may be independently and legitimately developed or discovered by third parties without any improper use of or reference to information or trade secrets. We seek to protect the scientific, technical and business information supporting our operations, as well as the confidential information relating specifically to our product candidates by entering into confidentiality agreements with parties to whom we need to disclose our confidential information, such as, our employees, consultants, board members, contractors, potential collaborators and financial investors. However, we cannot be certain that such agreements have been entered into with all relevant parties. We also seek to preserve the integrity and confidentiality of our data and trade secrets by maintaining physical security of our premises and physical and electronic security of our information technology systems, but it is possible that these security measures could be breached. While we have confidence in these individuals, organizations and systems, agreements or security measures may be breached and we may not have adequate remedies for any breach. Our confidential information and trade secrets thus may become known by our competitors in ways we cannot prove or remedy.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6" w:name="page67"/>
    <w:bookmarkEnd w:id="66"/>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Although we require all of our employees and consultants to assign their inventions to us, and all of our employees, consultants, advisors and any third parties who have access to our proprietary know-how, information or technology to enter into confidentiality agreements, we cannot provide any assurances that all such agreements have been duly executed. We cannot guarantee that our trade secrets and other confidential proprietary information will not be disclosed or that competitors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w:t>
      </w:r>
    </w:p>
    <w:p>
      <w:pPr>
        <w:spacing w:after="0" w:line="187" w:lineRule="exact"/>
        <w:rPr>
          <w:sz w:val="20"/>
          <w:szCs w:val="20"/>
          <w:color w:val="auto"/>
        </w:rPr>
      </w:pPr>
    </w:p>
    <w:p>
      <w:pPr>
        <w:ind w:right="60" w:firstLine="576"/>
        <w:spacing w:after="0" w:line="281" w:lineRule="auto"/>
        <w:rPr>
          <w:sz w:val="20"/>
          <w:szCs w:val="20"/>
          <w:color w:val="auto"/>
        </w:rPr>
      </w:pPr>
      <w:r>
        <w:rPr>
          <w:rFonts w:ascii="Times New Roman" w:cs="Times New Roman" w:eastAsia="Times New Roman" w:hAnsi="Times New Roman"/>
          <w:sz w:val="17"/>
          <w:szCs w:val="17"/>
          <w:color w:val="auto"/>
        </w:rPr>
        <w:t>Misappropriation or unauthorized disclosure of our trade secrets could impair our competitive position and may harm our business. Additionally, if the steps taken to maintain our trade secrets are deemed inadequate, we may have insufficient recourse against third parties for misappropriating any trade secret. We cannot guarantee that our employees, former employees or consultants will not file patent applications claiming our inventions. Because of the “first-to-file” laws in the United States, such unauthorized patent application filings may defeat our attempts to obtain patents on our own inventions.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 which could impair our business.</w:t>
      </w:r>
    </w:p>
    <w:p>
      <w:pPr>
        <w:spacing w:after="0" w:line="22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Filing, prosecuting, defending and enforcing patents and trademarks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Further, licensing partners may choose not to file patent or trademark applications in certain jurisdictions in which we may obtain commercial rights, thereby precluding the possibility of later obtaining patent protection in these countries. Consequently, we may not be able to prevent third parties from practicing our inventions in all countries outside the United States or importing products made using our inventions into the United States or other jurisdictions and we may not be able to use our trademarks in all countries or prevent others from using or registering similar trademarks. Competitors may use our technologies in jurisdictions where we have not obtained patent protection to develop their own products and may also export infringing products to territories where we have patent protection, but the ability to enforce our patents is not as strong as that in the United States. These products may compete with our products and our patents or other intellectual property rights may not be effective or sufficient to prevent them from competing.</w:t>
      </w:r>
    </w:p>
    <w:p>
      <w:pPr>
        <w:spacing w:after="0" w:line="194"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in violation of our proprietary rights generally. Proceedings to enforce our patent rights in foreign jurisdictions, whether or not successful, could result in substantial costs and divert our efforts and attention from other aspects of our business, could put our patents at risk of being invalidated or interpreted narrowly and our patent applications at risk of not being approved, and could provoke third parties to assert claims against us. We may not prevail in any lawsuits that we initiate and the damages or other remedies awarded, if any, may not be commercially meaningful. Governments of some foreign countries may force us to license our patents to third parties on terms that are not commercially reasonable or acceptable to us. In addition, many countries limit the enforceability of patents against government agencies or government contractors. Accordingly, our efforts to enforce our intellectual property rights around the world may be inadequate to obtain a significant commercial advantage from the intellectual property that we develop or license.</w:t>
      </w:r>
    </w:p>
    <w:p>
      <w:pPr>
        <w:spacing w:after="0" w:line="19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Further, the standards applied by the USPTO and foreign patent offices in granting patents are not always applied uniformly or predictably. As such, we do not know the degree of future protection that we will have on our technologies and product candidate(s). While we will endeavor to try to protect our technologies and product candidate(s) with intellectual property rights such as patents, as appropriate, the process of obtaining patents is time-consuming, expensive, and unpredictable.</w:t>
      </w:r>
    </w:p>
    <w:p>
      <w:pPr>
        <w:spacing w:after="0" w:line="180"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addition, geopolitical actions in the United States and in other countries could increase the uncertainties and costs surrounding the prosecution or maintenance of our patent applications or those of any future licensors and the maintenance, enforcement, or defense of our issued patents or those of any future licensors. As a result, our competitive position may be impaired, and our business, financial condition, results of operations, and prospects may be adversely affected.</w:t>
      </w:r>
    </w:p>
    <w:p>
      <w:pPr>
        <w:spacing w:after="0" w:line="203" w:lineRule="exact"/>
        <w:rPr>
          <w:sz w:val="20"/>
          <w:szCs w:val="20"/>
          <w:color w:val="auto"/>
        </w:rPr>
      </w:pPr>
    </w:p>
    <w:p>
      <w:pPr>
        <w:jc w:val="both"/>
        <w:ind w:firstLine="5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requirements, document submissions, fee payment and other requirements imposed by governmental patent agencies. Our patent protection could be reduced or eliminated for non-compliance with these requirements.</w:t>
      </w:r>
    </w:p>
    <w:p>
      <w:pPr>
        <w:spacing w:after="0" w:line="175"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Periodic maintenance fees on any issued patent are due to be paid to the USPTO and other foreign patent agencies in several stages over the lifetime of the patent. We rely on our outside counsel or third-party vendors to pay these fees. The USPTO, CIPO and various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7" w:name="page68"/>
    <w:bookmarkEnd w:id="67"/>
    <w:p>
      <w:pPr>
        <w:jc w:val="both"/>
        <w:spacing w:after="0" w:line="254" w:lineRule="auto"/>
        <w:rPr>
          <w:sz w:val="20"/>
          <w:szCs w:val="20"/>
          <w:color w:val="auto"/>
        </w:rPr>
      </w:pPr>
      <w:r>
        <w:rPr>
          <w:rFonts w:ascii="Times New Roman" w:cs="Times New Roman" w:eastAsia="Times New Roman" w:hAnsi="Times New Roman"/>
          <w:sz w:val="18"/>
          <w:szCs w:val="18"/>
          <w:color w:val="auto"/>
        </w:rPr>
        <w:t>foreign national or international patent agencies require compliance with a number of procedural, documentary, fee payment and other similar provisions during the patent application process. While, in many cases, an inadvertent lapse can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patent rights include, but are not limited to, failure to timely file national and regional stage patent applications based on our international patent application, failure to respond to official actions within prescribed time limits, non-payment of fees and failure to properly legalize and submit formal documents. If we or our licensors fail to maintain the patents and patent applications covering our present and future product candidates, our competitors might be able to enter the market, which would have an adverse effect on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be required to expand our development and regulatory capabilities and potentially implement sales, marketing and distribution capabilities, and as a result, we may encounter difficulties in managing our growth, which could disrupt our operations.</w:t>
      </w:r>
    </w:p>
    <w:p>
      <w:pPr>
        <w:spacing w:after="0" w:line="267" w:lineRule="exact"/>
        <w:rPr>
          <w:sz w:val="20"/>
          <w:szCs w:val="20"/>
          <w:color w:val="auto"/>
        </w:rPr>
      </w:pPr>
    </w:p>
    <w:p>
      <w:pPr>
        <w:ind w:right="40" w:firstLine="576"/>
        <w:spacing w:after="0" w:line="254" w:lineRule="auto"/>
        <w:rPr>
          <w:sz w:val="20"/>
          <w:szCs w:val="20"/>
          <w:color w:val="auto"/>
        </w:rPr>
      </w:pPr>
      <w:r>
        <w:rPr>
          <w:rFonts w:ascii="Times New Roman" w:cs="Times New Roman" w:eastAsia="Times New Roman" w:hAnsi="Times New Roman"/>
          <w:sz w:val="18"/>
          <w:szCs w:val="18"/>
          <w:color w:val="auto"/>
        </w:rPr>
        <w:t>As our development and commercialization plans and strategies develop, and as we continue operating as a public company, we expect to need and to experience significant growth in the number of our employees and the scope of our operations, particularly in the areas of drug development, regulatory affairs and, if our product candidate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and human resources, we may not be able to effectively manage the expansion of our operations or recruit and train additional qualified personnel, as the competition for individuals in oncology product development is high. Our future financial performance and our ability to commercialize our product candidates will depend, in part, on our ability to effectively manage any future growth, and the expansion of our operations may lead to significant costs and may divert our management and business development resources. Any inability to manage growth could delay the execution of our business plans or disrupt our operations.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members of senior management and to attract, retain and motivate qualified personnel.</w:t>
      </w:r>
    </w:p>
    <w:p>
      <w:pPr>
        <w:spacing w:after="0" w:line="121" w:lineRule="exact"/>
        <w:rPr>
          <w:sz w:val="20"/>
          <w:szCs w:val="20"/>
          <w:color w:val="auto"/>
        </w:rPr>
      </w:pPr>
    </w:p>
    <w:p>
      <w:pPr>
        <w:ind w:right="120" w:firstLine="576"/>
        <w:spacing w:after="0" w:line="266" w:lineRule="auto"/>
        <w:rPr>
          <w:sz w:val="20"/>
          <w:szCs w:val="20"/>
          <w:color w:val="auto"/>
        </w:rPr>
      </w:pPr>
      <w:r>
        <w:rPr>
          <w:rFonts w:ascii="Times New Roman" w:cs="Times New Roman" w:eastAsia="Times New Roman" w:hAnsi="Times New Roman"/>
          <w:sz w:val="18"/>
          <w:szCs w:val="18"/>
          <w:color w:val="auto"/>
        </w:rPr>
        <w:t>Our ability to compete in the highly competitive biopharmaceutical industry depends upon our ability to attract and retain highly qualified management, research and development, clinical, financial and business development personnel. Our senior management may terminate their employment with us at any time, and we do not maintain “key person” insurance for any of our employees.</w:t>
      </w:r>
    </w:p>
    <w:p>
      <w:pPr>
        <w:spacing w:after="0" w:line="68" w:lineRule="exact"/>
        <w:rPr>
          <w:sz w:val="20"/>
          <w:szCs w:val="20"/>
          <w:color w:val="auto"/>
        </w:rPr>
      </w:pPr>
    </w:p>
    <w:p>
      <w:pPr>
        <w:ind w:right="160" w:firstLine="576"/>
        <w:spacing w:after="0" w:line="258" w:lineRule="auto"/>
        <w:rPr>
          <w:sz w:val="20"/>
          <w:szCs w:val="20"/>
          <w:color w:val="auto"/>
        </w:rPr>
      </w:pPr>
      <w:r>
        <w:rPr>
          <w:rFonts w:ascii="Times New Roman" w:cs="Times New Roman" w:eastAsia="Times New Roman" w:hAnsi="Times New Roman"/>
          <w:sz w:val="18"/>
          <w:szCs w:val="18"/>
          <w:color w:val="auto"/>
        </w:rPr>
        <w:t>The Acquisition resulted in a combined management team that is small relative to our development ambitions. We are heavily dependent on a limited number of individuals with specialized expertise in PI3K/AKT/mTOR pathway biology, metabolic oncology, and clinical development of combination products. The loss of one or more of these individuals, particularly during the critical post-Acquisition integration period, could significantly delay our clinical development programs. Competition for individuals with this specialized expertise is intense, and we may not be able to recruit suitable replacements on acceptable terms or in a timely manner.</w:t>
      </w:r>
    </w:p>
    <w:p>
      <w:pPr>
        <w:spacing w:after="0" w:line="75" w:lineRule="exact"/>
        <w:rPr>
          <w:sz w:val="20"/>
          <w:szCs w:val="20"/>
          <w:color w:val="auto"/>
        </w:rPr>
      </w:pPr>
    </w:p>
    <w:p>
      <w:pPr>
        <w:ind w:right="40" w:firstLine="576"/>
        <w:spacing w:after="0" w:line="253" w:lineRule="auto"/>
        <w:rPr>
          <w:sz w:val="20"/>
          <w:szCs w:val="20"/>
          <w:color w:val="auto"/>
        </w:rPr>
      </w:pPr>
      <w:r>
        <w:rPr>
          <w:rFonts w:ascii="Times New Roman" w:cs="Times New Roman" w:eastAsia="Times New Roman" w:hAnsi="Times New Roman"/>
          <w:sz w:val="18"/>
          <w:szCs w:val="18"/>
          <w:color w:val="auto"/>
        </w:rPr>
        <w:t>Recruiting and retaining qualified scientific and clinical personnel and, if we progress the development of any of our product candidates, commercialization, manufacturing and sales and marketing personnel, will be critical to our success. The loss of the services of members of our senior management or other key employees could impede the achievement of our research, development and commercialization objectives and seriously harm our ability to successfully implement our business strategy. Furthermore, replacing members of our senior management and key employees may be difficult and may take an extended period of time because of the limited number of individuals in our industry with the breadth of skills and experience required to successfully develop, gain regulatory approval of and commercialize our product candidates. Our success also depends on our ability to continue to attract, retain and motivate highly skilled junior, mid-level and senior managers, as well as junior, mid-level and senior scientific and medical personnel. Competition to hire from this limited candidate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high-quality personnel, our ability to pursue our growth strategy will be limited.</w:t>
      </w:r>
    </w:p>
    <w:p>
      <w:pPr>
        <w:spacing w:after="0" w:line="7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Following the Acquisition, certain of our employees who previously worked at a private company are now subject to public company compliance obligations, and any failure to comply with these obligations could expose us to regulatory risk and reputational harm.</w:t>
      </w:r>
    </w:p>
    <w:p>
      <w:pPr>
        <w:spacing w:after="0" w:line="51" w:lineRule="exact"/>
        <w:rPr>
          <w:sz w:val="20"/>
          <w:szCs w:val="20"/>
          <w:color w:val="auto"/>
        </w:rPr>
      </w:pPr>
    </w:p>
    <w:p>
      <w:pPr>
        <w:ind w:right="180" w:firstLine="576"/>
        <w:spacing w:after="0" w:line="282" w:lineRule="auto"/>
        <w:rPr>
          <w:sz w:val="20"/>
          <w:szCs w:val="20"/>
          <w:color w:val="auto"/>
        </w:rPr>
      </w:pPr>
      <w:r>
        <w:rPr>
          <w:rFonts w:ascii="Times New Roman" w:cs="Times New Roman" w:eastAsia="Times New Roman" w:hAnsi="Times New Roman"/>
          <w:sz w:val="18"/>
          <w:szCs w:val="18"/>
          <w:color w:val="auto"/>
        </w:rPr>
        <w:t>As a result of the Acquisition, a number of individuals who previously operated in a private company environment are now employees or officers of a publicly traded company and are subject to public company compliance obligations, including compliance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8" w:name="page69"/>
    <w:bookmarkEnd w:id="68"/>
    <w:p>
      <w:pPr>
        <w:spacing w:after="0" w:line="266" w:lineRule="auto"/>
        <w:rPr>
          <w:sz w:val="20"/>
          <w:szCs w:val="20"/>
          <w:color w:val="auto"/>
        </w:rPr>
      </w:pPr>
      <w:r>
        <w:rPr>
          <w:rFonts w:ascii="Times New Roman" w:cs="Times New Roman" w:eastAsia="Times New Roman" w:hAnsi="Times New Roman"/>
          <w:sz w:val="18"/>
          <w:szCs w:val="18"/>
          <w:color w:val="auto"/>
        </w:rPr>
        <w:t>with our insider trading policy, Section 16 reporting requirements under the Securities Exchange Act of 1934, Regulation FD restrictions on selective disclosure of material nonpublic information, and quiet period restrictions around SEC filings. These individuals may not have prior experience with public company compliance requirements.</w:t>
      </w:r>
    </w:p>
    <w:p>
      <w:pPr>
        <w:spacing w:after="0" w:line="68" w:lineRule="exact"/>
        <w:rPr>
          <w:sz w:val="20"/>
          <w:szCs w:val="20"/>
          <w:color w:val="auto"/>
        </w:rPr>
      </w:pPr>
    </w:p>
    <w:p>
      <w:pPr>
        <w:ind w:right="20" w:firstLine="576"/>
        <w:spacing w:after="0" w:line="258" w:lineRule="auto"/>
        <w:rPr>
          <w:sz w:val="20"/>
          <w:szCs w:val="20"/>
          <w:color w:val="auto"/>
        </w:rPr>
      </w:pPr>
      <w:r>
        <w:rPr>
          <w:rFonts w:ascii="Times New Roman" w:cs="Times New Roman" w:eastAsia="Times New Roman" w:hAnsi="Times New Roman"/>
          <w:sz w:val="18"/>
          <w:szCs w:val="18"/>
          <w:color w:val="auto"/>
        </w:rPr>
        <w:t>We have implemented onboarding and training programs to educate former Faeth employees regarding these obligations. However, there can be no assurance that all individuals will fully understand or consistently comply with these requirements, particularly during the initial post-Acquisition integration period. Any inadvertent violation of insider trading laws, Section 16 reporting obligations, or Regulation FD could result in SEC enforcement action, personal liability for the individuals involved, and reputational harm to the company. Such violations could also undermine investor confidence in our corporate governance practices and adversely affect the trading price of our common stock.</w:t>
      </w:r>
    </w:p>
    <w:p>
      <w:pPr>
        <w:spacing w:after="0" w:line="71" w:lineRule="exact"/>
        <w:rPr>
          <w:sz w:val="20"/>
          <w:szCs w:val="20"/>
          <w:color w:val="auto"/>
        </w:rPr>
      </w:pPr>
    </w:p>
    <w:p>
      <w:pPr>
        <w:jc w:val="both"/>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engage in future acquisitions or strategic collaborations, this may increase our capital requirements, dilute our stockholders, cause us to incur debt or assume contingent liabilities and subject us to other risks.</w:t>
      </w:r>
    </w:p>
    <w:p>
      <w:pPr>
        <w:spacing w:after="0" w:line="51" w:lineRule="exact"/>
        <w:rPr>
          <w:sz w:val="20"/>
          <w:szCs w:val="20"/>
          <w:color w:val="auto"/>
        </w:rPr>
      </w:pPr>
    </w:p>
    <w:p>
      <w:pPr>
        <w:jc w:val="both"/>
        <w:ind w:right="220" w:firstLine="576"/>
        <w:spacing w:after="0" w:line="266" w:lineRule="auto"/>
        <w:rPr>
          <w:sz w:val="20"/>
          <w:szCs w:val="20"/>
          <w:color w:val="auto"/>
        </w:rPr>
      </w:pPr>
      <w:r>
        <w:rPr>
          <w:rFonts w:ascii="Times New Roman" w:cs="Times New Roman" w:eastAsia="Times New Roman" w:hAnsi="Times New Roman"/>
          <w:sz w:val="18"/>
          <w:szCs w:val="18"/>
          <w:color w:val="auto"/>
        </w:rPr>
        <w:t>From time to time, we may evaluate various acquisitions and strategic collaborations, including licensing or acquiring complementary products, intellectual property rights, technologies or businesses, as we may deem appropriate to carry out our business plan. Any potential acquisition or strategic collaboration may entail numerous risks, including:</w:t>
      </w:r>
    </w:p>
    <w:p>
      <w:pPr>
        <w:spacing w:after="0" w:line="68" w:lineRule="exact"/>
        <w:rPr>
          <w:sz w:val="20"/>
          <w:szCs w:val="20"/>
          <w:color w:val="auto"/>
        </w:rPr>
      </w:pPr>
    </w:p>
    <w:p>
      <w:pPr>
        <w:ind w:left="760" w:hanging="373"/>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expenses and cash requirements;</w:t>
      </w:r>
    </w:p>
    <w:p>
      <w:pPr>
        <w:spacing w:after="0" w:line="27" w:lineRule="exact"/>
        <w:rPr>
          <w:rFonts w:ascii="Times New Roman" w:cs="Times New Roman" w:eastAsia="Times New Roman" w:hAnsi="Times New Roman"/>
          <w:sz w:val="18"/>
          <w:szCs w:val="18"/>
          <w:color w:val="auto"/>
        </w:rPr>
      </w:pPr>
    </w:p>
    <w:p>
      <w:pPr>
        <w:ind w:left="760" w:hanging="373"/>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additional indebtedness or contingent liabilities;</w:t>
      </w:r>
    </w:p>
    <w:p>
      <w:pPr>
        <w:spacing w:after="0" w:line="9" w:lineRule="exact"/>
        <w:rPr>
          <w:rFonts w:ascii="Times New Roman" w:cs="Times New Roman" w:eastAsia="Times New Roman" w:hAnsi="Times New Roman"/>
          <w:sz w:val="18"/>
          <w:szCs w:val="18"/>
          <w:color w:val="auto"/>
        </w:rPr>
      </w:pPr>
    </w:p>
    <w:p>
      <w:pPr>
        <w:ind w:left="760" w:right="400" w:hanging="373"/>
        <w:spacing w:after="0" w:line="250"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assimilation of operations, intellectual property and products of an acquired company, including difficulties associated with integrating new personnel;</w:t>
      </w:r>
    </w:p>
    <w:p>
      <w:pPr>
        <w:ind w:left="760" w:right="540" w:hanging="373"/>
        <w:spacing w:after="0" w:line="250"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our management’s attention from our existing programs and initiatives in pursuing such a strategic partnership, merger or acquisition;</w:t>
      </w:r>
    </w:p>
    <w:p>
      <w:pPr>
        <w:ind w:left="760" w:hanging="373"/>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the loss of key personnel and uncertainties in our ability to maintain key business relationships;</w:t>
      </w:r>
    </w:p>
    <w:p>
      <w:pPr>
        <w:spacing w:after="0" w:line="9" w:lineRule="exact"/>
        <w:rPr>
          <w:rFonts w:ascii="Times New Roman" w:cs="Times New Roman" w:eastAsia="Times New Roman" w:hAnsi="Times New Roman"/>
          <w:sz w:val="18"/>
          <w:szCs w:val="18"/>
          <w:color w:val="auto"/>
        </w:rPr>
      </w:pPr>
    </w:p>
    <w:p>
      <w:pPr>
        <w:ind w:left="760" w:right="240" w:hanging="373"/>
        <w:spacing w:after="0" w:line="250"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associated with the other party to such a transaction, including the prospects of that party and their existing products or product candidates and regulatory approvals; and</w:t>
      </w:r>
    </w:p>
    <w:p>
      <w:pPr>
        <w:ind w:left="760" w:right="180" w:hanging="373"/>
        <w:spacing w:after="0" w:line="260"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generate revenue from acquired technology sufficient to meet our objectives in undertaking the acquisition or even to offset the associated acquisition and maintenance costs.</w:t>
      </w:r>
    </w:p>
    <w:p>
      <w:pPr>
        <w:spacing w:after="0" w:line="73" w:lineRule="exact"/>
        <w:rPr>
          <w:sz w:val="20"/>
          <w:szCs w:val="20"/>
          <w:color w:val="auto"/>
        </w:rPr>
      </w:pPr>
    </w:p>
    <w:p>
      <w:pPr>
        <w:ind w:right="40" w:firstLine="576"/>
        <w:spacing w:after="0" w:line="261" w:lineRule="auto"/>
        <w:rPr>
          <w:sz w:val="20"/>
          <w:szCs w:val="20"/>
          <w:color w:val="auto"/>
        </w:rPr>
      </w:pPr>
      <w:r>
        <w:rPr>
          <w:rFonts w:ascii="Times New Roman" w:cs="Times New Roman" w:eastAsia="Times New Roman" w:hAnsi="Times New Roman"/>
          <w:sz w:val="18"/>
          <w:szCs w:val="18"/>
          <w:color w:val="auto"/>
        </w:rPr>
        <w:t>Additionally, if we undertake future acquisitions, we may issue dilutive securities, assume or incur debt obligations, incur large one-time expenses and acquire intangible assets that could result in significant future amortization expenses. Moreover, we may not be able to locate suitable acquisition opportunities and this inability could impair our ability to grow or obtain access to technology or products that may be important to the development of our business.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to limit commercialization of any products that we may develop.</w:t>
      </w:r>
    </w:p>
    <w:p>
      <w:pPr>
        <w:spacing w:after="0" w:line="121" w:lineRule="exact"/>
        <w:rPr>
          <w:sz w:val="20"/>
          <w:szCs w:val="20"/>
          <w:color w:val="auto"/>
        </w:rPr>
      </w:pPr>
    </w:p>
    <w:p>
      <w:pPr>
        <w:ind w:right="120" w:firstLine="576"/>
        <w:spacing w:after="0" w:line="266"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product candidates in human clinical trials and will face an even greater risk if we commercially sell any products that we may develop. If we cannot successfully defend ourselves against claims that our product candidates or products caused injuries, we will incur substantial liabilities. Regardless of merit or eventual outcome, liability claims may result in:</w:t>
      </w:r>
    </w:p>
    <w:p>
      <w:pPr>
        <w:spacing w:after="0" w:line="68" w:lineRule="exact"/>
        <w:rPr>
          <w:sz w:val="20"/>
          <w:szCs w:val="20"/>
          <w:color w:val="auto"/>
        </w:rPr>
      </w:pPr>
    </w:p>
    <w:p>
      <w:pPr>
        <w:ind w:left="760" w:hanging="373"/>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w:t>
      </w:r>
    </w:p>
    <w:p>
      <w:pPr>
        <w:spacing w:after="0" w:line="27" w:lineRule="exact"/>
        <w:rPr>
          <w:rFonts w:ascii="Times New Roman" w:cs="Times New Roman" w:eastAsia="Times New Roman" w:hAnsi="Times New Roman"/>
          <w:sz w:val="18"/>
          <w:szCs w:val="18"/>
          <w:color w:val="auto"/>
        </w:rPr>
      </w:pPr>
    </w:p>
    <w:p>
      <w:pPr>
        <w:ind w:left="760" w:hanging="373"/>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products that we may develop;</w:t>
      </w:r>
    </w:p>
    <w:p>
      <w:pPr>
        <w:spacing w:after="0" w:line="9" w:lineRule="exact"/>
        <w:rPr>
          <w:rFonts w:ascii="Times New Roman" w:cs="Times New Roman" w:eastAsia="Times New Roman" w:hAnsi="Times New Roman"/>
          <w:sz w:val="18"/>
          <w:szCs w:val="18"/>
          <w:color w:val="auto"/>
        </w:rPr>
      </w:pPr>
    </w:p>
    <w:p>
      <w:pPr>
        <w:ind w:left="760" w:hanging="373"/>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9" w:lineRule="exact"/>
        <w:rPr>
          <w:rFonts w:ascii="Times New Roman" w:cs="Times New Roman" w:eastAsia="Times New Roman" w:hAnsi="Times New Roman"/>
          <w:sz w:val="18"/>
          <w:szCs w:val="18"/>
          <w:color w:val="auto"/>
        </w:rPr>
      </w:pPr>
    </w:p>
    <w:p>
      <w:pPr>
        <w:ind w:left="760" w:hanging="373"/>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9" w:lineRule="exact"/>
        <w:rPr>
          <w:rFonts w:ascii="Times New Roman" w:cs="Times New Roman" w:eastAsia="Times New Roman" w:hAnsi="Times New Roman"/>
          <w:sz w:val="18"/>
          <w:szCs w:val="18"/>
          <w:color w:val="auto"/>
        </w:rPr>
      </w:pPr>
    </w:p>
    <w:p>
      <w:pPr>
        <w:ind w:left="760" w:hanging="373"/>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9" w:lineRule="exact"/>
        <w:rPr>
          <w:rFonts w:ascii="Times New Roman" w:cs="Times New Roman" w:eastAsia="Times New Roman" w:hAnsi="Times New Roman"/>
          <w:sz w:val="18"/>
          <w:szCs w:val="18"/>
          <w:color w:val="auto"/>
        </w:rPr>
      </w:pPr>
    </w:p>
    <w:p>
      <w:pPr>
        <w:ind w:left="760" w:hanging="373"/>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9" w:lineRule="exact"/>
        <w:rPr>
          <w:rFonts w:ascii="Times New Roman" w:cs="Times New Roman" w:eastAsia="Times New Roman" w:hAnsi="Times New Roman"/>
          <w:sz w:val="18"/>
          <w:szCs w:val="18"/>
          <w:color w:val="auto"/>
        </w:rPr>
      </w:pPr>
    </w:p>
    <w:p>
      <w:pPr>
        <w:ind w:left="760" w:hanging="373"/>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resulting litigation;</w:t>
      </w:r>
    </w:p>
    <w:p>
      <w:pPr>
        <w:spacing w:after="0" w:line="9" w:lineRule="exact"/>
        <w:rPr>
          <w:rFonts w:ascii="Times New Roman" w:cs="Times New Roman" w:eastAsia="Times New Roman" w:hAnsi="Times New Roman"/>
          <w:sz w:val="18"/>
          <w:szCs w:val="18"/>
          <w:color w:val="auto"/>
        </w:rPr>
      </w:pPr>
    </w:p>
    <w:p>
      <w:pPr>
        <w:ind w:left="760" w:hanging="373"/>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paid to clinical trial participants or patients;</w:t>
      </w:r>
    </w:p>
    <w:p>
      <w:pPr>
        <w:spacing w:after="0" w:line="9" w:lineRule="exact"/>
        <w:rPr>
          <w:rFonts w:ascii="Times New Roman" w:cs="Times New Roman" w:eastAsia="Times New Roman" w:hAnsi="Times New Roman"/>
          <w:sz w:val="18"/>
          <w:szCs w:val="18"/>
          <w:color w:val="auto"/>
        </w:rPr>
      </w:pPr>
    </w:p>
    <w:p>
      <w:pPr>
        <w:ind w:left="760" w:hanging="373"/>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9" w:lineRule="exact"/>
        <w:rPr>
          <w:rFonts w:ascii="Times New Roman" w:cs="Times New Roman" w:eastAsia="Times New Roman" w:hAnsi="Times New Roman"/>
          <w:sz w:val="18"/>
          <w:szCs w:val="18"/>
          <w:color w:val="auto"/>
        </w:rPr>
      </w:pPr>
    </w:p>
    <w:p>
      <w:pPr>
        <w:ind w:left="760" w:hanging="373"/>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99" w:lineRule="exact"/>
        <w:rPr>
          <w:sz w:val="20"/>
          <w:szCs w:val="20"/>
          <w:color w:val="auto"/>
        </w:rPr>
      </w:pPr>
    </w:p>
    <w:p>
      <w:pPr>
        <w:ind w:right="80" w:firstLine="576"/>
        <w:spacing w:after="0" w:line="258" w:lineRule="auto"/>
        <w:rPr>
          <w:sz w:val="20"/>
          <w:szCs w:val="20"/>
          <w:color w:val="auto"/>
        </w:rPr>
      </w:pPr>
      <w:r>
        <w:rPr>
          <w:rFonts w:ascii="Times New Roman" w:cs="Times New Roman" w:eastAsia="Times New Roman" w:hAnsi="Times New Roman"/>
          <w:sz w:val="18"/>
          <w:szCs w:val="18"/>
          <w:color w:val="auto"/>
        </w:rPr>
        <w:t>We do not currently maintain product liability insurance because we have determined that the cost of available coverage is not justified relative to our current stage of clinical development. Once we are ready for a product launch, we intend to bind a policy with product liability insurance coverage in the aggregate and a per incident limit at an amount adequate to cover estimated liabilities that we may incur. We may need to increase our insurance coverage if we re-initiate our clinical trials or if we commence commercialization of our product candidates. Insurance coverage is increasingly expensive. We may not be able to maintain insurance coverage at a reasonable cost or in an amount adequate to satisfy any liability that may arise.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Securities and our Status as a Public Company</w:t>
      </w: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common stock may be volatile, and you could lose all or part of your investment.</w:t>
      </w:r>
    </w:p>
    <w:p>
      <w:pPr>
        <w:spacing w:after="0" w:line="121" w:lineRule="exact"/>
        <w:rPr>
          <w:sz w:val="20"/>
          <w:szCs w:val="20"/>
          <w:color w:val="auto"/>
        </w:rPr>
      </w:pPr>
    </w:p>
    <w:p>
      <w:pPr>
        <w:ind w:right="100" w:firstLine="576"/>
        <w:spacing w:after="0" w:line="258" w:lineRule="auto"/>
        <w:rPr>
          <w:sz w:val="20"/>
          <w:szCs w:val="20"/>
          <w:color w:val="auto"/>
        </w:rPr>
      </w:pPr>
      <w:r>
        <w:rPr>
          <w:rFonts w:ascii="Times New Roman" w:cs="Times New Roman" w:eastAsia="Times New Roman" w:hAnsi="Times New Roman"/>
          <w:sz w:val="18"/>
          <w:szCs w:val="18"/>
          <w:color w:val="auto"/>
        </w:rPr>
        <w:t>The trading price of our common stock is likely to be highly volatile and could be subject to wide fluctuations in response to various factors, some of which are beyond our control, including limited trading volume. The stock market in general and the market for biopharmaceutical companies in particular have experienced extreme volatility that has often been unrelated to the operating performance of particular companies. As a result of this volatility, investors may not be able to sell their common stock at or above the price paid for the common stock. In addition to the factors discussed elsewhere in this “Risk Factors” section, these factors include:</w:t>
      </w:r>
    </w:p>
    <w:p>
      <w:pPr>
        <w:spacing w:after="0" w:line="75" w:lineRule="exact"/>
        <w:rPr>
          <w:sz w:val="20"/>
          <w:szCs w:val="20"/>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enrollment or results of our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or negative results from, or delays in, testing and clinical trials by us, collaborators or competitors;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of our key scientific or management personnel;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actions taken by regulatory agencies with respect to our clinical trials or manufacturers;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developments in laws or regulations applicable to our product candidates and preclinical program;</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and scope of health care payment systems;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relationships with collaborators, manufacturers or suppliers;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regarding the safety of our product candidates ;</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concerning our competitors or the pharmaceutical industry in general;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or recommendations by securities analysts;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acquisitions, financing, collaborations or other corporate transactions;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additional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common stock on Nasdaq;</w:t>
      </w:r>
    </w:p>
    <w:p>
      <w:pPr>
        <w:spacing w:after="0" w:line="117" w:lineRule="exact"/>
        <w:rPr>
          <w:rFonts w:ascii="Times New Roman" w:cs="Times New Roman" w:eastAsia="Times New Roman" w:hAnsi="Times New Roman"/>
          <w:sz w:val="18"/>
          <w:szCs w:val="18"/>
          <w:color w:val="auto"/>
        </w:rPr>
      </w:pPr>
    </w:p>
    <w:p>
      <w:pPr>
        <w:ind w:left="760" w:right="220" w:hanging="378"/>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members of our senior management and directors or our stockholders or the anticipation that such sales may occur in the future;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market conditions and overall fluctuations in the financial markets in the United States;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market price and volume fluctuations of comparable companies and, in particular, those that operate in the biopharmaceutical industry;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general perception of us and our business;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and factors, many of which are beyond our control.</w:t>
      </w:r>
    </w:p>
    <w:p>
      <w:pPr>
        <w:spacing w:after="0" w:line="117" w:lineRule="exact"/>
        <w:rPr>
          <w:sz w:val="20"/>
          <w:szCs w:val="20"/>
          <w:color w:val="auto"/>
        </w:rPr>
      </w:pPr>
    </w:p>
    <w:p>
      <w:pPr>
        <w:ind w:firstLine="576"/>
        <w:spacing w:after="0" w:line="258" w:lineRule="auto"/>
        <w:rPr>
          <w:sz w:val="20"/>
          <w:szCs w:val="20"/>
          <w:color w:val="auto"/>
        </w:rPr>
      </w:pPr>
      <w:r>
        <w:rPr>
          <w:rFonts w:ascii="Times New Roman" w:cs="Times New Roman" w:eastAsia="Times New Roman" w:hAnsi="Times New Roman"/>
          <w:sz w:val="18"/>
          <w:szCs w:val="18"/>
          <w:color w:val="auto"/>
        </w:rPr>
        <w:t>These and other market and industry factors may cause the market price and demand for our common stock to fluctuate substantially, regardless of our actual operating performance, which may limit or prevent investors from selling their common stock at or above the price paid for the common stock and may otherwise negatively affect the liquidity of our common stock. In addition, the stock market in general, and biopharmaceutical companies in particular, have experienced extreme price and volume fluctuations that have often been unrelated or disproportionate to the operating performance of these companies.</w:t>
      </w:r>
    </w:p>
    <w:p>
      <w:pPr>
        <w:spacing w:after="0" w:line="75" w:lineRule="exact"/>
        <w:rPr>
          <w:sz w:val="20"/>
          <w:szCs w:val="20"/>
          <w:color w:val="auto"/>
        </w:rPr>
      </w:pPr>
    </w:p>
    <w:p>
      <w:pPr>
        <w:ind w:right="60" w:firstLine="576"/>
        <w:spacing w:after="0" w:line="266" w:lineRule="auto"/>
        <w:rPr>
          <w:sz w:val="20"/>
          <w:szCs w:val="20"/>
          <w:color w:val="auto"/>
        </w:rPr>
      </w:pPr>
      <w:r>
        <w:rPr>
          <w:rFonts w:ascii="Times New Roman" w:cs="Times New Roman" w:eastAsia="Times New Roman" w:hAnsi="Times New Roman"/>
          <w:sz w:val="18"/>
          <w:szCs w:val="18"/>
          <w:color w:val="auto"/>
        </w:rPr>
        <w:t>Some companies that have experienced volatility in the trading price of their shares have been the subject of securities class action litigation. From time to time, we have been, and may continue to be, subject to legal proceedings and claims in the ordinary course of business. We also may decide to settle lawsuits on unfavorable terms.</w:t>
      </w:r>
    </w:p>
    <w:p>
      <w:pPr>
        <w:spacing w:after="0" w:line="68" w:lineRule="exact"/>
        <w:rPr>
          <w:sz w:val="20"/>
          <w:szCs w:val="20"/>
          <w:color w:val="auto"/>
        </w:rPr>
      </w:pPr>
    </w:p>
    <w:p>
      <w:pPr>
        <w:ind w:right="120" w:firstLine="576"/>
        <w:spacing w:after="0" w:line="261" w:lineRule="auto"/>
        <w:rPr>
          <w:sz w:val="20"/>
          <w:szCs w:val="20"/>
          <w:color w:val="auto"/>
        </w:rPr>
      </w:pPr>
      <w:r>
        <w:rPr>
          <w:rFonts w:ascii="Times New Roman" w:cs="Times New Roman" w:eastAsia="Times New Roman" w:hAnsi="Times New Roman"/>
          <w:sz w:val="18"/>
          <w:szCs w:val="18"/>
          <w:color w:val="auto"/>
        </w:rPr>
        <w:t>Any such negative outcome could result in payments of substantial damages or fines, damage to our reputation or adverse changes to our business practices. Defending against litigation is costly and time-consuming, and could divert our management’s attention and our resources. Furthermore, during the course of litigation, there could be negative public announcements of the results of hearings, motions or other interim proceedings or developments, which could have a negative effect on the market price of our common stock.</w:t>
      </w:r>
    </w:p>
    <w:p>
      <w:pPr>
        <w:spacing w:after="0" w:line="6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could be negatively affected by any securities litigation or stockholder activism, which could cause us to incur significant expense, hinder execution of business and growth strategies and impact our share price.</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70" w:name="page71"/>
    <w:bookmarkEnd w:id="70"/>
    <w:p>
      <w:pPr>
        <w:ind w:right="140" w:firstLine="576"/>
        <w:spacing w:after="0" w:line="261"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securities class action litigation has often been brought against that company. Stockholder activism, which could take many forms or arise in a variety of situations, has been increasing recently. Volatility in the stock price of our common stock or other securities or other reasons may in the future cause us to become the target of securities litigation or stockholder activism.</w:t>
      </w:r>
    </w:p>
    <w:p>
      <w:pPr>
        <w:spacing w:after="0" w:line="72" w:lineRule="exact"/>
        <w:rPr>
          <w:sz w:val="20"/>
          <w:szCs w:val="20"/>
          <w:color w:val="auto"/>
        </w:rPr>
      </w:pPr>
    </w:p>
    <w:p>
      <w:pPr>
        <w:ind w:right="60" w:firstLine="576"/>
        <w:spacing w:after="0" w:line="256" w:lineRule="auto"/>
        <w:rPr>
          <w:sz w:val="20"/>
          <w:szCs w:val="20"/>
          <w:color w:val="auto"/>
        </w:rPr>
      </w:pPr>
      <w:r>
        <w:rPr>
          <w:rFonts w:ascii="Times New Roman" w:cs="Times New Roman" w:eastAsia="Times New Roman" w:hAnsi="Times New Roman"/>
          <w:sz w:val="18"/>
          <w:szCs w:val="18"/>
          <w:color w:val="auto"/>
        </w:rPr>
        <w:t>Securities litigation and stockholder activism, including proxy contests, could result in substantial costs and divert management’s and the Board’s attention and resources from our business. The potential of a proxy contest or other stockholder activism could interfere with our ability to execute on our strategic plan, give rise to perceived uncertainties as to our future direction, result in the loss of potential business opportunities or make it more difficult to attract and retain qualified personnel, any of which could materially and adversely affect our business and operating results. Further, our share price could be subject to significant fluctuation or otherwise be adversely affected by the events, risks and uncertainties of any securities litigation and stockholder activism.</w:t>
      </w:r>
    </w:p>
    <w:p>
      <w:pPr>
        <w:spacing w:after="0" w:line="7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may be sold into the market, which could cause the market price of our common stock to drop significantly, even if our business is doing well.</w:t>
      </w:r>
    </w:p>
    <w:p>
      <w:pPr>
        <w:spacing w:after="0" w:line="51" w:lineRule="exact"/>
        <w:rPr>
          <w:sz w:val="20"/>
          <w:szCs w:val="20"/>
          <w:color w:val="auto"/>
        </w:rPr>
      </w:pPr>
    </w:p>
    <w:p>
      <w:pPr>
        <w:jc w:val="both"/>
        <w:ind w:right="260" w:firstLine="576"/>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If our stockholders sell, or the market perceives that our stockholders intend to sell, substantial amounts of our shares of common stock in the public market, the market price of our common stock could decline significantly.</w:t>
      </w:r>
    </w:p>
    <w:p>
      <w:pPr>
        <w:spacing w:after="0" w:line="68" w:lineRule="exact"/>
        <w:rPr>
          <w:sz w:val="20"/>
          <w:szCs w:val="20"/>
          <w:color w:val="auto"/>
        </w:rPr>
      </w:pPr>
    </w:p>
    <w:p>
      <w:pPr>
        <w:ind w:right="20" w:firstLine="576"/>
        <w:spacing w:after="0" w:line="266" w:lineRule="auto"/>
        <w:rPr>
          <w:sz w:val="20"/>
          <w:szCs w:val="20"/>
          <w:color w:val="auto"/>
        </w:rPr>
      </w:pPr>
      <w:r>
        <w:rPr>
          <w:rFonts w:ascii="Times New Roman" w:cs="Times New Roman" w:eastAsia="Times New Roman" w:hAnsi="Times New Roman"/>
          <w:sz w:val="18"/>
          <w:szCs w:val="18"/>
          <w:color w:val="auto"/>
        </w:rPr>
        <w:t>In addition, we have filed registration statements registering the issuance of all shares of common stock subject to options or other equity awards issued or reserved for future issuance under our equity incentive plans. Shares registered under these registration statements will be available for sale in the public market subject to vesting arrangements and exercise of options and, in the case of our affiliates, the restrictions of Rule 144 under the Securities Act.</w:t>
      </w:r>
    </w:p>
    <w:p>
      <w:pPr>
        <w:spacing w:after="0" w:line="68" w:lineRule="exact"/>
        <w:rPr>
          <w:sz w:val="20"/>
          <w:szCs w:val="20"/>
          <w:color w:val="auto"/>
        </w:rPr>
      </w:pPr>
    </w:p>
    <w:p>
      <w:pPr>
        <w:ind w:right="160" w:firstLine="576"/>
        <w:spacing w:after="0" w:line="261" w:lineRule="auto"/>
        <w:rPr>
          <w:sz w:val="20"/>
          <w:szCs w:val="20"/>
          <w:color w:val="auto"/>
        </w:rPr>
      </w:pPr>
      <w:r>
        <w:rPr>
          <w:rFonts w:ascii="Times New Roman" w:cs="Times New Roman" w:eastAsia="Times New Roman" w:hAnsi="Times New Roman"/>
          <w:sz w:val="18"/>
          <w:szCs w:val="18"/>
          <w:color w:val="auto"/>
        </w:rPr>
        <w:t>Furthermore, certain holders of our common stock, or their transferees, have rights, subject to some conditions, to require us to file one or more registration statements covering their shares or to include their shares in registration statements that we may file for ourselves or other stockholders. If we were to register the resale of these shares, they could be freely sold in the public market. If these additional shares are sold, or if it is perceived that they will be sold, in the public market, the trading price of our common stock could decline.</w:t>
      </w:r>
    </w:p>
    <w:p>
      <w:pPr>
        <w:spacing w:after="0" w:line="72" w:lineRule="exact"/>
        <w:rPr>
          <w:sz w:val="20"/>
          <w:szCs w:val="20"/>
          <w:color w:val="auto"/>
        </w:rPr>
      </w:pPr>
    </w:p>
    <w:p>
      <w:pPr>
        <w:ind w:firstLine="576"/>
        <w:spacing w:after="0" w:line="252" w:lineRule="auto"/>
        <w:rPr>
          <w:sz w:val="20"/>
          <w:szCs w:val="20"/>
          <w:color w:val="auto"/>
        </w:rPr>
      </w:pPr>
      <w:r>
        <w:rPr>
          <w:rFonts w:ascii="Times New Roman" w:cs="Times New Roman" w:eastAsia="Times New Roman" w:hAnsi="Times New Roman"/>
          <w:sz w:val="18"/>
          <w:szCs w:val="18"/>
          <w:color w:val="auto"/>
        </w:rPr>
        <w:t>Finally, in connection with the execution of the Agreement and Plan of Merger, or the Merger Agreement, dated as of February 17, 2026, by and among the Company, Sapphire First Merger Sub, Inc., a Delaware corporation and wholly owned subsidiary of the Company, Sapphire Second Merger Sub, LLC, a Delaware limited liability company and wholly owned subsidiary of the Company, Faeth Subsidiary and Faeth HoldCo, certain of our directors and officers, as well as certain of the directors, officers and stockholders of Faeth Therapeutics, each as of immediately prior to the Acquisition, entered into lock-up agreements, pursuant to which each such stockholder will be subject to a 180-day lockup on the sale or transfer of shares of our common stock and Series B Preferred Stock held by each such stockholder, including those shares received by directors and officers in the Acquisition, subject to certain limited exceptions as set forth in such lock-up agreements. Upon expiration of this 180-day lockup period, these shares will become eligible for sale in the public market. Pursuant to the Merger Agreement and the registration rights agreement that we entered into pursuant to the 2026 Private Placement, we are obligated to prepare and file a resale registration statement with the SEC to register the resale of shares of our common stock underlying the Series B Preferred Stock and warrant to purchase shares of Series B Preferred Stock. We will use commercially reasonable efforts to cause this registration statement to be declared effected by the SEC. Once the registration statement is declared effective, the shares subject to the registration statement will no longer constitute restricted securities and may be sold freely in the public markets, subject to (i) the approval of the Company Stockholder Matters (as defined below), (ii) the approval of the Nasdaq Listing Application (as defined below) and (iii) any beneficial ownership limitations set by the holder of Series B Preferred Stock. If our stockholders sell, or indicate an intention to sell, substantial amounts of our common stock in the public market after legal restrictions on resale lapse, the trading price of our common stock could decline.</w:t>
      </w:r>
    </w:p>
    <w:p>
      <w:pPr>
        <w:spacing w:after="0" w:line="8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w:t>
      </w:r>
    </w:p>
    <w:p>
      <w:pPr>
        <w:spacing w:after="0" w:line="51" w:lineRule="exact"/>
        <w:rPr>
          <w:sz w:val="20"/>
          <w:szCs w:val="20"/>
          <w:color w:val="auto"/>
        </w:rPr>
      </w:pPr>
    </w:p>
    <w:p>
      <w:pPr>
        <w:ind w:right="120" w:firstLine="576"/>
        <w:spacing w:after="0" w:line="255"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Ineffective internal controls could also cause investors to lose confidence in our reported financial information, which could have a negative effect on the trading price of our common stock.</w:t>
      </w:r>
    </w:p>
    <w:p>
      <w:pPr>
        <w:spacing w:after="0" w:line="7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we cannot be certain if the reduced reporting requirements applicable to emerging growth companies will make our shares of common stock less attractive to investors.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1" w:name="page72"/>
    <w:bookmarkEnd w:id="71"/>
    <w:p>
      <w:pPr>
        <w:ind w:right="120" w:firstLine="576"/>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For as long as we continue to be an emerging growth company, we may take advantage of exemptions from various reporting requirements that are applicable to other public companies that are not emerging growth companies, including the auditor attestation requirements in the assessment of our internal control over financial reporting under Section 404(b) of the Sarbanes-Oxley Act, compliance with any new requirements adopted by the PCAOB, disclosure obligations regarding executive compensation in our periodic reports and proxy statements, and the requirements of holding advisory “say-on-pay” votes on executive compensation and stockholder advisory votes on golden parachute compensation not previously approved. Certain of these reduced reporting requirements and exemptions are also available to us due to the fact that we qualify as a “smaller reporting company” under SEC rules. For instance, smaller reporting companies are not required to obtain an auditor attestation and report regarding management’s assessment of internal control over financial reporting, are not required to provide a compensation discussion and analysis, are not required to provide a pay-for-performance graph or CEO pay ratio disclosure and may present only two years of audited financial statements and related MD&amp;A disclosure.</w:t>
      </w:r>
    </w:p>
    <w:p>
      <w:pPr>
        <w:spacing w:after="0" w:line="86" w:lineRule="exact"/>
        <w:rPr>
          <w:sz w:val="20"/>
          <w:szCs w:val="20"/>
          <w:color w:val="auto"/>
        </w:rPr>
      </w:pPr>
    </w:p>
    <w:p>
      <w:pPr>
        <w:ind w:firstLine="576"/>
        <w:spacing w:after="0" w:line="255" w:lineRule="auto"/>
        <w:rPr>
          <w:sz w:val="20"/>
          <w:szCs w:val="20"/>
          <w:color w:val="auto"/>
        </w:rPr>
      </w:pPr>
      <w:r>
        <w:rPr>
          <w:rFonts w:ascii="Times New Roman" w:cs="Times New Roman" w:eastAsia="Times New Roman" w:hAnsi="Times New Roman"/>
          <w:sz w:val="18"/>
          <w:szCs w:val="18"/>
          <w:color w:val="auto"/>
        </w:rPr>
        <w:t>Under the JOBS Act, we will remain an emerging growth company until the earliest of (1) the last day of the fiscal year in which we have more than $1.235 billion in annual revenue; (2) the date we qualify as a “large accelerated filer,” with at least $700.0 million of equity securities held by non-affiliates; (3) the issuance, in any three-year period, by our company of more than $1.0 billion in non-convertible debt securities; and (4) December 31, 2026, which is the last day of the fiscal year following the fifth anniversary of the date of the first sale of our common stock pursuant to an effective registration statement filed under the Securities Act. Under current SEC rules, however, we will continue to qualify as a “smaller reporting company” for so long as (i) we have a public float (i.e., the market value of common equity held by non-affiliates) of less than $250 million or (ii) our annual revenue is less than $100 million during the most recently completed fiscal year and the market value of our common stock held by non-affiliates is less than $700 million.</w:t>
      </w:r>
    </w:p>
    <w:p>
      <w:pPr>
        <w:spacing w:after="0" w:line="81" w:lineRule="exact"/>
        <w:rPr>
          <w:sz w:val="20"/>
          <w:szCs w:val="20"/>
          <w:color w:val="auto"/>
        </w:rPr>
      </w:pPr>
    </w:p>
    <w:p>
      <w:pPr>
        <w:ind w:right="380" w:firstLine="576"/>
        <w:spacing w:after="0" w:line="266" w:lineRule="auto"/>
        <w:rPr>
          <w:sz w:val="20"/>
          <w:szCs w:val="20"/>
          <w:color w:val="auto"/>
        </w:rPr>
      </w:pPr>
      <w:r>
        <w:rPr>
          <w:rFonts w:ascii="Times New Roman" w:cs="Times New Roman" w:eastAsia="Times New Roman" w:hAnsi="Times New Roman"/>
          <w:sz w:val="18"/>
          <w:szCs w:val="18"/>
          <w:color w:val="auto"/>
        </w:rPr>
        <w:t>We cannot predict if investors will find our shares of common stock to be less attractive because we may rely on these exemptions. If some investors find our shares of common stock less attractive as a result, there may be a less active trading market for our shares of common stock, and our share price may be more volatile.</w:t>
      </w:r>
    </w:p>
    <w:p>
      <w:pPr>
        <w:spacing w:after="0" w:line="68" w:lineRule="exact"/>
        <w:rPr>
          <w:sz w:val="20"/>
          <w:szCs w:val="20"/>
          <w:color w:val="auto"/>
        </w:rPr>
      </w:pPr>
    </w:p>
    <w:p>
      <w:pPr>
        <w:ind w:right="60" w:firstLine="576"/>
        <w:spacing w:after="0" w:line="256" w:lineRule="auto"/>
        <w:rPr>
          <w:sz w:val="20"/>
          <w:szCs w:val="20"/>
          <w:color w:val="auto"/>
        </w:rPr>
      </w:pPr>
      <w:r>
        <w:rPr>
          <w:rFonts w:ascii="Times New Roman" w:cs="Times New Roman" w:eastAsia="Times New Roman" w:hAnsi="Times New Roman"/>
          <w:sz w:val="18"/>
          <w:szCs w:val="18"/>
          <w:color w:val="auto"/>
        </w:rPr>
        <w:t>Under the JOBS Act, emerging growth companies also can delay adopting new or revised accounting standards until such time as those standards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 Therefore, the reported results of operations contained in our condensed consolidated financial statements may not be directly comparable to those of other public companies.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paying any cash dividends on our common stock in the foreseeable future.</w:t>
      </w:r>
    </w:p>
    <w:p>
      <w:pPr>
        <w:spacing w:after="0" w:line="121" w:lineRule="exact"/>
        <w:rPr>
          <w:sz w:val="20"/>
          <w:szCs w:val="20"/>
          <w:color w:val="auto"/>
        </w:rPr>
      </w:pPr>
    </w:p>
    <w:p>
      <w:pPr>
        <w:ind w:right="60" w:firstLine="576"/>
        <w:spacing w:after="0" w:line="255" w:lineRule="auto"/>
        <w:rPr>
          <w:sz w:val="20"/>
          <w:szCs w:val="20"/>
          <w:color w:val="auto"/>
        </w:rPr>
      </w:pPr>
      <w:r>
        <w:rPr>
          <w:rFonts w:ascii="Times New Roman" w:cs="Times New Roman" w:eastAsia="Times New Roman" w:hAnsi="Times New Roman"/>
          <w:sz w:val="18"/>
          <w:szCs w:val="18"/>
          <w:color w:val="auto"/>
        </w:rPr>
        <w:t>We do not intend to pay any cash dividends on our common stock in the foreseeable future and we currently intend to retain our future earnings, if any, to fund the development and growth of our business. Therefore, you should not rely on an investment in our common stock to provide dividend income. Our board of directors has complete discretion as to whether to distribute dividends.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subsidiaries, our financial condition, contractual restrictions and other factors deemed relevant by our board of directors. As a result, capital appreciation, if any, on our common stock will be your sole source of gains for the foreseeable future.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 could adversely affect our business and financial condition.</w:t>
      </w:r>
    </w:p>
    <w:p>
      <w:pPr>
        <w:spacing w:after="0" w:line="121" w:lineRule="exact"/>
        <w:rPr>
          <w:sz w:val="20"/>
          <w:szCs w:val="20"/>
          <w:color w:val="auto"/>
        </w:rPr>
      </w:pPr>
    </w:p>
    <w:p>
      <w:pPr>
        <w:ind w:right="60" w:firstLine="576"/>
        <w:spacing w:after="0" w:line="253" w:lineRule="auto"/>
        <w:rPr>
          <w:sz w:val="20"/>
          <w:szCs w:val="20"/>
          <w:color w:val="auto"/>
        </w:rPr>
      </w:pPr>
      <w:r>
        <w:rPr>
          <w:rFonts w:ascii="Times New Roman" w:cs="Times New Roman" w:eastAsia="Times New Roman" w:hAnsi="Times New Roman"/>
          <w:sz w:val="18"/>
          <w:szCs w:val="18"/>
          <w:color w:val="auto"/>
        </w:rPr>
        <w:t>We are subject to federal, state and local income and other taxes in the United States and in foreign jurisdictions because of the scope of our operations. New tax laws, statutes, rules, regulations or ordinances could be enacted at any time. Further, existing tax laws, statutes, rules, regulations or ordinances could be interpreted differently, changed, repealed or modified at any time. Any such enactment, interpretation, change, repeal or modification could adversely affect us, possibly with retroactive effect. For example, the U.S. government recently enacted legislation commonly referred to as the One Big Beautiful Bill Act that (along with prior U.S. federal tax reform legislation) has resulted in significant changes to the taxation of business entities, including, among other changes, the imposition of minimum taxes and excise taxes, changes to the taxation of income derived from international operations, changes in the deduction and amortization of research and development expenditures, and limitations on the deductibility of business interest. Future guidance from the Internal Revenue Service and other taxing authorities with respect to this and other legislation may affect us, and certain aspects of such legislation could be repealed or modified in future legislation or sunset in future years. In addition, it is uncertain if and to what extent various states will conform to federal law. We continue to evaluate the impact that these and other tax reforms may have on our business. To the extent that any such changes in tax laws and regulations have a negative impact on us, including as a result of related uncertainty, our business, financial condition, results of operations and cash flows may be materially and adversely impacted and we may be required to implement changes to minimize increases in our tax liability.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to offset future taxable income may be subject to certain limitations.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2" w:name="page73"/>
    <w:bookmarkEnd w:id="72"/>
    <w:p>
      <w:pPr>
        <w:ind w:right="20" w:firstLine="576"/>
        <w:spacing w:after="0" w:line="255" w:lineRule="auto"/>
        <w:rPr>
          <w:sz w:val="20"/>
          <w:szCs w:val="20"/>
          <w:color w:val="auto"/>
        </w:rPr>
      </w:pPr>
      <w:r>
        <w:rPr>
          <w:rFonts w:ascii="Times New Roman" w:cs="Times New Roman" w:eastAsia="Times New Roman" w:hAnsi="Times New Roman"/>
          <w:sz w:val="18"/>
          <w:szCs w:val="18"/>
          <w:color w:val="auto"/>
        </w:rPr>
        <w:t>Our net operating loss, or NOL, carryforwards could expire unused and be unavailable to offset future income tax liabilities because of their limited duration or because of restrictions under U.S. tax law. U.S. federal NOLs generated in taxable years beginning before January 1, 2018 are permitted to be carried forward for only 20 taxable years under applicable U.S. federal income tax law. Under the Tax Cuts and Jobs Act of 2017, or the Tax Act, as modified by the Coronavirus Aid, Relief, and Economic Security Act, or the CARES Act, NOLs arising in taxable years beginning after December 31,</w:t>
      </w:r>
    </w:p>
    <w:p>
      <w:pPr>
        <w:spacing w:after="0" w:line="3"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2017 may be carried forward indefinitely, but the deductibility of such NOLs generally will be limited in taxable years beginning after December 31, 2020 to 80% of current year taxable income. As of December 31, 2025, we had NOL carryforwards for federal and state income tax purposes of approximately $170.5 million and $98.9 million, respectively, a portion of which expired beginning in 2025. Net operating loss carryforwards generated after December 31, 2017 for federal tax reporting purposes of $137.2 million have an indefinite life. The remaining federal net operating losses are subject to a 20-year carryforward period.</w:t>
      </w:r>
    </w:p>
    <w:p>
      <w:pPr>
        <w:spacing w:after="0" w:line="79" w:lineRule="exact"/>
        <w:rPr>
          <w:sz w:val="20"/>
          <w:szCs w:val="20"/>
          <w:color w:val="auto"/>
        </w:rPr>
      </w:pPr>
    </w:p>
    <w:p>
      <w:pPr>
        <w:ind w:right="40" w:firstLine="576"/>
        <w:spacing w:after="0" w:line="253" w:lineRule="auto"/>
        <w:rPr>
          <w:sz w:val="20"/>
          <w:szCs w:val="20"/>
          <w:color w:val="auto"/>
        </w:rPr>
      </w:pPr>
      <w:r>
        <w:rPr>
          <w:rFonts w:ascii="Times New Roman" w:cs="Times New Roman" w:eastAsia="Times New Roman" w:hAnsi="Times New Roman"/>
          <w:sz w:val="18"/>
          <w:szCs w:val="18"/>
          <w:color w:val="auto"/>
        </w:rPr>
        <w:t>In general, under Section 382 of the Internal Revenue Code of 1986, as amended, or the Code, a corporation that undergoes an “ownership change” (as defined under Section 382 of the Code and applicable Treasury Regulations) is subject to limitations on its ability to utilize its pre-change NOLs to offset future taxable income. Following the approval of the Company Stockholder Matters, the Acquisition will result in an ownership change for us and, accordingly, our NOL carryforwards and certain other tax attributes will be subject to limitations (or disallowance) on their use after approval of the Company Stockholder Matters. Faeth’s NOL carryforwards may also be subject to limitations as a result of prior shifts in equity ownership and/or the Acquisition. We may also have experienced an ownership change in the past, and may experience ownership changes in the future as a result of subsequent shifts in our stock ownership, some of which are outside our control. Furthermore, our ability to utilize NOLs of Faeth that we acquired as a result of the Acquisition may be subject to limitations. There is also a risk that due to regulatory changes, such as suspensions on the use of NOLs or other unforeseen reasons, our existing NOLs could expire or otherwise be unavailable to reduce future income tax liabilities, including for state tax purposes. For these reasons, we may not be able to utilize a material portion of the NOLs reflected on our balance sheet, even if we attain profitability, which could potentially result in increased future tax liability to us and could adversely affect our operating results and financial condition.</w:t>
      </w:r>
    </w:p>
    <w:p>
      <w:pPr>
        <w:spacing w:after="0" w:line="8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expect to continue incurring significantly increased costs as a result of operating as a company whose common stock is publicly traded, and our management will be required to devote substantial time to new compliance initiatives.</w:t>
      </w:r>
    </w:p>
    <w:p>
      <w:pPr>
        <w:spacing w:after="0" w:line="51" w:lineRule="exact"/>
        <w:rPr>
          <w:sz w:val="20"/>
          <w:szCs w:val="20"/>
          <w:color w:val="auto"/>
        </w:rPr>
      </w:pPr>
    </w:p>
    <w:p>
      <w:pPr>
        <w:ind w:firstLine="576"/>
        <w:spacing w:after="0" w:line="254" w:lineRule="auto"/>
        <w:rPr>
          <w:sz w:val="20"/>
          <w:szCs w:val="20"/>
          <w:color w:val="auto"/>
        </w:rPr>
      </w:pPr>
      <w:r>
        <w:rPr>
          <w:rFonts w:ascii="Times New Roman" w:cs="Times New Roman" w:eastAsia="Times New Roman" w:hAnsi="Times New Roman"/>
          <w:sz w:val="18"/>
          <w:szCs w:val="18"/>
          <w:color w:val="auto"/>
        </w:rPr>
        <w:t>As a public company, we have incurred significant legal, accounting and other expenses that we did not incur previously, as a private company. These expenses will likely be even more significant after we no longer qualify as an emerging growth company. The Sarbanes-Oxley Act, the Dodd-Frank Wall Street Reform and Consumer Protection Act, the listing requirements of Nasdaq and other applicable securities rules and regulations impose various requirements on public companies in the United States, including the establishment and maintenance of effective disclosure and financial controls and corporate governance practices. Our senior management and other personnel will need to devote a substantial amount of time to these compliance initiatives. Moreover, we expect that these rules and regulations may make it more difficult and more expensive for us to obtain director and officer liability insurance, which in turn could make it more difficult for us to attract and retain qualified senior management personnel or members for our board of directors.</w:t>
      </w:r>
    </w:p>
    <w:p>
      <w:pPr>
        <w:spacing w:after="0" w:line="84" w:lineRule="exact"/>
        <w:rPr>
          <w:sz w:val="20"/>
          <w:szCs w:val="20"/>
          <w:color w:val="auto"/>
        </w:rPr>
      </w:pPr>
    </w:p>
    <w:p>
      <w:pPr>
        <w:ind w:right="20" w:firstLine="576"/>
        <w:spacing w:after="0" w:line="266" w:lineRule="auto"/>
        <w:rPr>
          <w:sz w:val="20"/>
          <w:szCs w:val="20"/>
          <w:color w:val="auto"/>
        </w:rPr>
      </w:pPr>
      <w:r>
        <w:rPr>
          <w:rFonts w:ascii="Times New Roman" w:cs="Times New Roman" w:eastAsia="Times New Roman" w:hAnsi="Times New Roman"/>
          <w:sz w:val="18"/>
          <w:szCs w:val="18"/>
          <w:color w:val="auto"/>
        </w:rPr>
        <w:t>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68" w:lineRule="exact"/>
        <w:rPr>
          <w:sz w:val="20"/>
          <w:szCs w:val="20"/>
          <w:color w:val="auto"/>
        </w:rPr>
      </w:pPr>
    </w:p>
    <w:p>
      <w:pPr>
        <w:ind w:right="60" w:firstLine="576"/>
        <w:spacing w:after="0" w:line="254" w:lineRule="auto"/>
        <w:rPr>
          <w:sz w:val="20"/>
          <w:szCs w:val="20"/>
          <w:color w:val="auto"/>
        </w:rPr>
      </w:pPr>
      <w:r>
        <w:rPr>
          <w:rFonts w:ascii="Times New Roman" w:cs="Times New Roman" w:eastAsia="Times New Roman" w:hAnsi="Times New Roman"/>
          <w:sz w:val="18"/>
          <w:szCs w:val="18"/>
          <w:color w:val="auto"/>
        </w:rPr>
        <w:t>Pursuant to Section 404, we are required to furnish a report by our senior management on our internal control over financial reporting. Depending upon our filer status, we could also be required to include an attestation report on internal control over financial reporting issued by our independent registered public accounting firm as required by Section 404(b). To prepare for eventual compliance with Section 404,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w:t>
      </w:r>
    </w:p>
    <w:p>
      <w:pPr>
        <w:spacing w:after="0" w:line="80"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and, to the extent enforceable, the federal district courts of the United States of America, will be the exclusive forum for substantially all disputes between us and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ind w:right="160" w:firstLine="576"/>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and, to the extent enforceable, the federal district courts of the United States of America, will be the exclusive forum for the following types of actions or proceedings under Delaware statutory or common law:</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3" w:name="page74"/>
    <w:bookmarkEnd w:id="73"/>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claim or cause of action brought on our behalf;</w:t>
      </w:r>
    </w:p>
    <w:p>
      <w:pPr>
        <w:spacing w:after="0" w:line="117"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for breach of a fiduciary duty owed by any of our current or former directors, officers or other employees to us or our stockholders;</w:t>
      </w:r>
    </w:p>
    <w:p>
      <w:pPr>
        <w:spacing w:after="0" w:line="53" w:lineRule="exact"/>
        <w:rPr>
          <w:rFonts w:ascii="Times New Roman" w:cs="Times New Roman" w:eastAsia="Times New Roman" w:hAnsi="Times New Roman"/>
          <w:sz w:val="18"/>
          <w:szCs w:val="18"/>
          <w:color w:val="auto"/>
        </w:rPr>
      </w:pPr>
    </w:p>
    <w:p>
      <w:pPr>
        <w:ind w:left="760" w:right="280" w:hanging="378"/>
        <w:spacing w:after="0" w:line="282"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against us or any of our current or former directors, officers or other employees, arising out of or pursuant to any provision of the Delaware General Corporation Law, or DGCL, our certificate of incorporation or our bylaws;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seeking to interpret, apply, enforce or determine the validity of our certificate of incorporation or our bylaws;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as to which the DGCL confers jurisdiction to the Court of Chancery of the State of Delaware; and</w:t>
      </w:r>
    </w:p>
    <w:p>
      <w:pPr>
        <w:spacing w:after="0" w:line="117" w:lineRule="exact"/>
        <w:rPr>
          <w:rFonts w:ascii="Times New Roman" w:cs="Times New Roman" w:eastAsia="Times New Roman" w:hAnsi="Times New Roman"/>
          <w:sz w:val="18"/>
          <w:szCs w:val="18"/>
          <w:color w:val="auto"/>
        </w:rPr>
      </w:pPr>
    </w:p>
    <w:p>
      <w:pPr>
        <w:jc w:val="both"/>
        <w:ind w:left="760" w:right="340" w:hanging="378"/>
        <w:spacing w:after="0" w:line="266"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against us or any of our current or former directors, officers or other employees that is governed by the internal-affairs doctrine, in all cases to the fullest extent permitted by law and subject to the court having personal jurisdiction over the indispensable parties named as defendants.</w:t>
      </w:r>
    </w:p>
    <w:p>
      <w:pPr>
        <w:spacing w:after="0" w:line="68" w:lineRule="exact"/>
        <w:rPr>
          <w:sz w:val="20"/>
          <w:szCs w:val="20"/>
          <w:color w:val="auto"/>
        </w:rPr>
      </w:pPr>
    </w:p>
    <w:p>
      <w:pPr>
        <w:jc w:val="both"/>
        <w:ind w:right="100" w:firstLine="576"/>
        <w:spacing w:after="0" w:line="261" w:lineRule="auto"/>
        <w:rPr>
          <w:sz w:val="20"/>
          <w:szCs w:val="20"/>
          <w:color w:val="auto"/>
        </w:rPr>
      </w:pPr>
      <w:r>
        <w:rPr>
          <w:rFonts w:ascii="Times New Roman" w:cs="Times New Roman" w:eastAsia="Times New Roman" w:hAnsi="Times New Roman"/>
          <w:sz w:val="18"/>
          <w:szCs w:val="18"/>
          <w:color w:val="auto"/>
        </w:rPr>
        <w:t>This provision would not apply to suits brought to enforce a duty or liability created by the Securities Act or the Securities Exchange Act of 1934, or the Exchange Act, or any claim for which the U.S. federal courts have exclusive jurisdiction. Our amended and restated certificate of incorporation will provide that the federal district courts of the United States of America will be the exclusive forum for resolving any complaint asserting a cause of action arising under the Securities Act.</w:t>
      </w:r>
    </w:p>
    <w:p>
      <w:pPr>
        <w:spacing w:after="0" w:line="72" w:lineRule="exact"/>
        <w:rPr>
          <w:sz w:val="20"/>
          <w:szCs w:val="20"/>
          <w:color w:val="auto"/>
        </w:rPr>
      </w:pPr>
    </w:p>
    <w:p>
      <w:pPr>
        <w:ind w:firstLine="576"/>
        <w:spacing w:after="0" w:line="261" w:lineRule="auto"/>
        <w:rPr>
          <w:sz w:val="20"/>
          <w:szCs w:val="20"/>
          <w:color w:val="auto"/>
        </w:rPr>
      </w:pPr>
      <w:r>
        <w:rPr>
          <w:rFonts w:ascii="Times New Roman" w:cs="Times New Roman" w:eastAsia="Times New Roman" w:hAnsi="Times New Roman"/>
          <w:sz w:val="18"/>
          <w:szCs w:val="18"/>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any other court of competent jurisdiction were to find either exclusive-forum provision in our amended and restated certificate of incorporation to be inapplicable or unenforceable, we may incur additional costs associated with resolving the dispute in other jurisdictions, which could seriously harm our business.</w:t>
      </w:r>
    </w:p>
    <w:p>
      <w:pPr>
        <w:spacing w:after="0" w:line="6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Insiders have substantial influence over us and could cause us to take actions that may not be, or refrain from taking actions that may be, in our best interest or in the best interest of our stockholders.</w:t>
      </w:r>
    </w:p>
    <w:p>
      <w:pPr>
        <w:spacing w:after="0" w:line="51" w:lineRule="exact"/>
        <w:rPr>
          <w:sz w:val="20"/>
          <w:szCs w:val="20"/>
          <w:color w:val="auto"/>
        </w:rPr>
      </w:pPr>
    </w:p>
    <w:p>
      <w:pPr>
        <w:ind w:right="40" w:firstLine="576"/>
        <w:spacing w:after="0" w:line="266" w:lineRule="auto"/>
        <w:rPr>
          <w:sz w:val="20"/>
          <w:szCs w:val="20"/>
          <w:color w:val="auto"/>
        </w:rPr>
      </w:pPr>
      <w:r>
        <w:rPr>
          <w:rFonts w:ascii="Times New Roman" w:cs="Times New Roman" w:eastAsia="Times New Roman" w:hAnsi="Times New Roman"/>
          <w:sz w:val="18"/>
          <w:szCs w:val="18"/>
          <w:color w:val="auto"/>
        </w:rPr>
        <w:t>We believe that our directors, executive officers and principal stockholders, together with their affiliates, own, in the aggregate, a substantial portion of our outstanding common stock. As a result, if these or certain of these stockholders were to choose to act together, they may be able to affect the outcome of matters submitted to our stockholders for approval, as well as our management and affairs, such as:</w:t>
      </w:r>
    </w:p>
    <w:p>
      <w:pPr>
        <w:spacing w:after="0" w:line="68" w:lineRule="exact"/>
        <w:rPr>
          <w:sz w:val="20"/>
          <w:szCs w:val="20"/>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composition of our board of directors;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amendments to our certificate of incorporation and bylaws;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mergers or sales of substantially all of our assets;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structure and financing; and</w:t>
      </w:r>
    </w:p>
    <w:p>
      <w:pPr>
        <w:spacing w:after="0" w:line="117" w:lineRule="exact"/>
        <w:rPr>
          <w:rFonts w:ascii="Times New Roman" w:cs="Times New Roman" w:eastAsia="Times New Roman" w:hAnsi="Times New Roman"/>
          <w:sz w:val="18"/>
          <w:szCs w:val="18"/>
          <w:color w:val="auto"/>
        </w:rPr>
      </w:pPr>
    </w:p>
    <w:p>
      <w:pPr>
        <w:ind w:left="760" w:right="1880" w:hanging="378"/>
        <w:spacing w:after="0" w:line="375"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contracts between us and these stockholders or their affiliates, which could involve conflicts of interest. This concentration of ownership could harm the market price of our common stock by:</w:t>
      </w:r>
    </w:p>
    <w:p>
      <w:pPr>
        <w:spacing w:after="0" w:line="1" w:lineRule="exact"/>
        <w:rPr>
          <w:rFonts w:ascii="Times New Roman" w:cs="Times New Roman" w:eastAsia="Times New Roman" w:hAnsi="Times New Roman"/>
          <w:sz w:val="18"/>
          <w:szCs w:val="18"/>
          <w:color w:val="auto"/>
        </w:rPr>
      </w:pPr>
    </w:p>
    <w:p>
      <w:pPr>
        <w:ind w:left="760" w:right="340" w:hanging="373"/>
        <w:spacing w:after="0" w:line="282"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deferring or preventing a change in control of our company and making some transactions more difficult or impossible without the support of these stockholders, even if such transactions are beneficial to other stockholders;</w:t>
      </w:r>
    </w:p>
    <w:p>
      <w:pPr>
        <w:spacing w:after="0" w:line="161" w:lineRule="exact"/>
        <w:rPr>
          <w:rFonts w:ascii="Times New Roman" w:cs="Times New Roman" w:eastAsia="Times New Roman" w:hAnsi="Times New Roman"/>
          <w:sz w:val="18"/>
          <w:szCs w:val="18"/>
          <w:color w:val="auto"/>
        </w:rPr>
      </w:pPr>
    </w:p>
    <w:p>
      <w:pPr>
        <w:ind w:left="760" w:hanging="373"/>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impeding a merger, consolidation, takeover or other business combination involving our company; or</w:t>
      </w:r>
    </w:p>
    <w:p>
      <w:pPr>
        <w:spacing w:after="0" w:line="225" w:lineRule="exact"/>
        <w:rPr>
          <w:rFonts w:ascii="Times New Roman" w:cs="Times New Roman" w:eastAsia="Times New Roman" w:hAnsi="Times New Roman"/>
          <w:sz w:val="18"/>
          <w:szCs w:val="18"/>
          <w:color w:val="auto"/>
        </w:rPr>
      </w:pPr>
    </w:p>
    <w:p>
      <w:pPr>
        <w:ind w:left="760" w:hanging="373"/>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engage in transactions that may not be agreeable to or in the best interest of us or other stockholders.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Acquisition</w:t>
      </w:r>
    </w:p>
    <w:p>
      <w:pPr>
        <w:spacing w:after="0" w:line="252"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Pursuant to the terms of the Acquisition, we are required to recommend that our stockholders approve the conversion of all outstanding shares of our Series B preferred stock into shares of our common stock. We must also obtain stockholder approval of an amendment to our certificate of incorporation to increase the number of shares we are authorized to issue. We cannot guarantee that our stockholders will approve these matters, and if they fail to do so we may be required to settle such shares in cash and our operations may be materially harmed.</w:t>
      </w:r>
    </w:p>
    <w:p>
      <w:pPr>
        <w:spacing w:after="0" w:line="180" w:lineRule="exact"/>
        <w:rPr>
          <w:sz w:val="20"/>
          <w:szCs w:val="20"/>
          <w:color w:val="auto"/>
        </w:rPr>
      </w:pPr>
    </w:p>
    <w:p>
      <w:pPr>
        <w:ind w:right="20" w:firstLine="562"/>
        <w:spacing w:after="0" w:line="282" w:lineRule="auto"/>
        <w:rPr>
          <w:sz w:val="20"/>
          <w:szCs w:val="20"/>
          <w:color w:val="auto"/>
        </w:rPr>
      </w:pPr>
      <w:r>
        <w:rPr>
          <w:rFonts w:ascii="Times New Roman" w:cs="Times New Roman" w:eastAsia="Times New Roman" w:hAnsi="Times New Roman"/>
          <w:sz w:val="18"/>
          <w:szCs w:val="18"/>
          <w:color w:val="auto"/>
        </w:rPr>
        <w:t>Under the terms of the Merger Agreement and the 2026 Private Placement purchase agreement, as promptly as practicable following the date of the Merger Agreement and pursuant to the Nasdaq Stock Market Rules, we will call and hold a meeting of our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74" w:name="page75"/>
    <w:bookmarkEnd w:id="74"/>
    <w:p>
      <w:pPr>
        <w:spacing w:after="0" w:line="252" w:lineRule="auto"/>
        <w:rPr>
          <w:sz w:val="20"/>
          <w:szCs w:val="20"/>
          <w:color w:val="auto"/>
        </w:rPr>
      </w:pPr>
      <w:r>
        <w:rPr>
          <w:rFonts w:ascii="Times New Roman" w:cs="Times New Roman" w:eastAsia="Times New Roman" w:hAnsi="Times New Roman"/>
          <w:sz w:val="18"/>
          <w:szCs w:val="18"/>
          <w:color w:val="auto"/>
        </w:rPr>
        <w:t>stockholders to obtain the requisite approval from our legacy stockholders for, among other things, (i) the approval, in accordance with certain of the rules of Nasdaq of the conversion of the Series B Preferred Stock into shares of our common stock, or the Conversion Proposal, (ii) the approval of a “change of control” under Nasdaq Listing Rules 5110 and 5635(b), or the Change in Control Proposal, (iii) the amendment of our certificate of incorporation to authorize an increase of up to 300,000,000 shares of our common stock, or the Charter Amendment Proposal and, together with the Conversion Proposal and the Change in Control Proposal, the Company Stockholder Matters, (iv) the approval of (A) the 2026 Equity Incentive Plan, which will provide for new awards for a number of shares of our common stock not exceeding 10% of our fully diluted shares of capital stock outstanding immediately after the 2026 Private Placement, and subject to approval by our Board, and which will include an annual increase pursuant to an “evergreen” provision providing for an annual increase of up to 5% of the total number of our fully diluted shares of capital stock outstanding as of the day prior to such increase and (B) the 2026 Employee Stock Purchase Plan, with a total pool of shares of our common stock not exceeding 1% of our fully diluted shares of capital stock outstanding immediately after the 2026 Private Placement, and which shall include an annual increase pursuant to an “evergreen” provision providing for an annual increase of up to 1% of the total number of our fully diluted shares of capital stock outstanding as of the day prior to such increase. If we fail to receive sufficient proxies to constitute a quorum or to obtain the required vote on the Company Stockholder Matters and/or our Nasdaq Listing Application is not approved, we would be required to adjourn the meeting one or more times for up to 30 days per adjournment. If stockholder approval of the Company Stockholder Matters or approval of the Nasdaq Listing Application are still not obtained following such adjournment(s), we will be obligated to continue soliciting stockholder approval at subsequent annual or special meetings of our stockholders, held at intervals of no more than six months, until such approvals are obtained, which would be time consuming and costly.</w:t>
      </w:r>
    </w:p>
    <w:p>
      <w:pPr>
        <w:spacing w:after="0" w:line="195" w:lineRule="exact"/>
        <w:rPr>
          <w:sz w:val="20"/>
          <w:szCs w:val="20"/>
          <w:color w:val="auto"/>
        </w:rPr>
      </w:pPr>
    </w:p>
    <w:p>
      <w:pPr>
        <w:ind w:right="20" w:firstLine="562"/>
        <w:spacing w:after="0" w:line="261" w:lineRule="auto"/>
        <w:rPr>
          <w:sz w:val="20"/>
          <w:szCs w:val="20"/>
          <w:color w:val="auto"/>
        </w:rPr>
      </w:pPr>
      <w:r>
        <w:rPr>
          <w:rFonts w:ascii="Times New Roman" w:cs="Times New Roman" w:eastAsia="Times New Roman" w:hAnsi="Times New Roman"/>
          <w:sz w:val="18"/>
          <w:szCs w:val="18"/>
          <w:color w:val="auto"/>
        </w:rPr>
        <w:t>There can be no assurance that our legacy stockholders will approve the Company Stockholder Matters. If our legacy stockholders do not approve the Charter Amendment Proposal, we would be unable to issue the additional shares of our common stock necessary to complete the conversion of Series B Preferred Stock into our common stock, and may be unable to satisfy our other capital needs, which could have a material adverse effect on our business, financial condition, and prospects.</w:t>
      </w:r>
    </w:p>
    <w:p>
      <w:pPr>
        <w:spacing w:after="0" w:line="180" w:lineRule="exact"/>
        <w:rPr>
          <w:sz w:val="20"/>
          <w:szCs w:val="20"/>
          <w:color w:val="auto"/>
        </w:rPr>
      </w:pPr>
    </w:p>
    <w:p>
      <w:pPr>
        <w:ind w:right="40" w:firstLine="562"/>
        <w:spacing w:after="0" w:line="256" w:lineRule="auto"/>
        <w:rPr>
          <w:sz w:val="20"/>
          <w:szCs w:val="20"/>
          <w:color w:val="auto"/>
        </w:rPr>
      </w:pPr>
      <w:r>
        <w:rPr>
          <w:rFonts w:ascii="Times New Roman" w:cs="Times New Roman" w:eastAsia="Times New Roman" w:hAnsi="Times New Roman"/>
          <w:sz w:val="18"/>
          <w:szCs w:val="18"/>
          <w:color w:val="auto"/>
        </w:rPr>
        <w:t>Additionally, if the Company Stockholder Matters are not approved by the date that is six months following the initial issuance date of the Series B Preferred Stock, the holders of the Series B Preferred Stock would be entitled to require us to settle their shares of our common stock underlying the Series B Preferred Stock for cash at a price per share equal to the fair value of our common stock at such time as described in the Certificate of Designation or Preferences, Rights and Limitations of the Series B Preferred Stock, or the Certificate of Designation. If we are forced to cash settle a significant amount of the shares of our common stock underlying the Series B Preferred Stock, it could materially affect our results of operations, business and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approval of the Nasdaq Listing Application could materially affect our results of operations, business and financial condition.</w:t>
      </w:r>
    </w:p>
    <w:p>
      <w:pPr>
        <w:spacing w:after="0" w:line="229" w:lineRule="exact"/>
        <w:rPr>
          <w:sz w:val="20"/>
          <w:szCs w:val="20"/>
          <w:color w:val="auto"/>
        </w:rPr>
      </w:pPr>
    </w:p>
    <w:p>
      <w:pPr>
        <w:ind w:firstLine="562"/>
        <w:spacing w:after="0" w:line="252" w:lineRule="auto"/>
        <w:rPr>
          <w:sz w:val="20"/>
          <w:szCs w:val="20"/>
          <w:color w:val="auto"/>
        </w:rPr>
      </w:pPr>
      <w:r>
        <w:rPr>
          <w:rFonts w:ascii="Times New Roman" w:cs="Times New Roman" w:eastAsia="Times New Roman" w:hAnsi="Times New Roman"/>
          <w:sz w:val="18"/>
          <w:szCs w:val="18"/>
          <w:color w:val="auto"/>
        </w:rPr>
        <w:t>Pursuant to the Merger Agreement, in order to permit the waiver of the beneficial ownership limitations applicable to the Series B Preferred Stock and take other actions following the consummation of the Acquisition, which would constitute a “change of control” under Nasdaq Listing Rule 5110(a), we are required to use our reasonable best efforts to file an initial listing application for our common stock on Nasdaq (the “Nasdaq Listing Application”). The Nasdaq Listing Application must be conditionally approved prior to the date of our stockholder meeting to approve the Company Stockholder Matters. If we fail to meet the Nasdaq listing requirements and Nasdaq does not approve the Nasdaq Listing Application, we will be required to adjourn our stockholder meeting to approve the Company Stockholder Matters one or more times for up to 30 days per adjournment, continue to use our reasonable best efforts to obtain approval of the Nasdaq Listing Application and to continue soliciting stockholder approval of the Company Stockholder Matters at subsequent annual or special meetings of our stockholders, held at intervals of no more than six months, until such approval and the approval of the Company Stockholder Matters are obtained, which would be time consuming and costly. Additionally, if the Company Stockholder Matters are not approved by the date that is six months following the initial issuance date of the Series B Preferred Stock, the holders of the Series B Preferred Stock would be entitled to require us to settle their shares of Series B Preferred Stock for cash at a price per share equal to the fair value of the Series B Preferred Stock at such time as described in the Certificate of Designation or Preferences, Rights and Limitations of the Series B Preferred Stock. If we are forced to cash settle a significant amount of the shares of our common stock underlying the Series B Preferred Stock, it could materially affect our results of operations, business and financial condition. We cannot assure you that we will be able to meet Nasdaq’s initial listing standards. Furthermore, if we fail to obtain approval of the Nasdaq Listing Application, we may be unable to execute on our plans for the Company following the Acquisition, which could materially affect our results of operations, business and financial condition.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guarantee that the Acquisition will increase stockholder value.</w:t>
      </w:r>
    </w:p>
    <w:p>
      <w:pPr>
        <w:spacing w:after="0" w:line="229" w:lineRule="exact"/>
        <w:rPr>
          <w:sz w:val="20"/>
          <w:szCs w:val="20"/>
          <w:color w:val="auto"/>
        </w:rPr>
      </w:pPr>
    </w:p>
    <w:p>
      <w:pPr>
        <w:ind w:right="200" w:firstLine="562"/>
        <w:spacing w:after="0" w:line="266" w:lineRule="auto"/>
        <w:rPr>
          <w:sz w:val="20"/>
          <w:szCs w:val="20"/>
          <w:color w:val="auto"/>
        </w:rPr>
      </w:pPr>
      <w:r>
        <w:rPr>
          <w:rFonts w:ascii="Times New Roman" w:cs="Times New Roman" w:eastAsia="Times New Roman" w:hAnsi="Times New Roman"/>
          <w:sz w:val="18"/>
          <w:szCs w:val="18"/>
          <w:color w:val="auto"/>
        </w:rPr>
        <w:t>In February 2026, we consummated the Acquisition, pursuant to which we acquired Faeth, and we closed the 2026 Private Placement. We cannot guarantee that implementing the Acquisition and related transactions will not impair stockholder value or otherwise adversely affect our business. The Acquisition poses significant integration challenges between our businesses and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5" w:name="page76"/>
    <w:bookmarkEnd w:id="75"/>
    <w:p>
      <w:pPr>
        <w:ind w:right="240"/>
        <w:spacing w:after="0" w:line="282" w:lineRule="auto"/>
        <w:rPr>
          <w:sz w:val="20"/>
          <w:szCs w:val="20"/>
          <w:color w:val="auto"/>
        </w:rPr>
      </w:pPr>
      <w:r>
        <w:rPr>
          <w:rFonts w:ascii="Times New Roman" w:cs="Times New Roman" w:eastAsia="Times New Roman" w:hAnsi="Times New Roman"/>
          <w:sz w:val="18"/>
          <w:szCs w:val="18"/>
          <w:color w:val="auto"/>
        </w:rPr>
        <w:t>employees which could result in management and business disruptions, any of which could harm our results of operation, business prospects, and impair the value of the Acquisition to our stockholders.</w:t>
      </w:r>
    </w:p>
    <w:p>
      <w:pPr>
        <w:spacing w:after="0" w:line="158"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to successfully integrate the businesses of the Company and Faeth Therapeutics in the expected timeframe could adversely affect our results of operations, financial condition, and future results.</w:t>
      </w:r>
    </w:p>
    <w:p>
      <w:pPr>
        <w:spacing w:after="0" w:line="159" w:lineRule="exact"/>
        <w:rPr>
          <w:sz w:val="20"/>
          <w:szCs w:val="20"/>
          <w:color w:val="auto"/>
        </w:rPr>
      </w:pPr>
    </w:p>
    <w:p>
      <w:pPr>
        <w:ind w:right="80" w:firstLine="562"/>
        <w:spacing w:after="0" w:line="254" w:lineRule="auto"/>
        <w:rPr>
          <w:sz w:val="20"/>
          <w:szCs w:val="20"/>
          <w:color w:val="auto"/>
        </w:rPr>
      </w:pPr>
      <w:r>
        <w:rPr>
          <w:rFonts w:ascii="Times New Roman" w:cs="Times New Roman" w:eastAsia="Times New Roman" w:hAnsi="Times New Roman"/>
          <w:sz w:val="18"/>
          <w:szCs w:val="18"/>
          <w:color w:val="auto"/>
        </w:rPr>
        <w:t>Our ability to successfully integrate the operations of the Company and Faeth Therapeutics will depend, in part, on our ability to realize the anticipated benefits from the Acquisition. If we are not able to achieve these objectives within the anticipated time frame, or at all, the anticipated benefits of the Acquisition may not be realized fully, or at all, or may take longer to realize than expected, and the value of our common stock may be adversely affected. In addition, the integration of the Company’s and Faeth’s respective businesses will be a time-consuming and expensive process. Proper planning and effective and timely implementation will be critical to avoid any significant disruption to our operations. There can be no assurance that we will effectively manage the increased complexity of our business without experiencing operating inefficiencies or control deficiencies. Delays encountered in the integration process could have a material adverse effect on our expenses, operating results and financial condition, including the value of shares of our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expect to incur substantial expenses related to the integration of Faeth.</w:t>
      </w:r>
    </w:p>
    <w:p>
      <w:pPr>
        <w:spacing w:after="0" w:line="229" w:lineRule="exact"/>
        <w:rPr>
          <w:sz w:val="20"/>
          <w:szCs w:val="20"/>
          <w:color w:val="auto"/>
        </w:rPr>
      </w:pPr>
    </w:p>
    <w:p>
      <w:pPr>
        <w:ind w:firstLine="562"/>
        <w:spacing w:after="0" w:line="255" w:lineRule="auto"/>
        <w:rPr>
          <w:sz w:val="20"/>
          <w:szCs w:val="20"/>
          <w:color w:val="auto"/>
        </w:rPr>
      </w:pPr>
      <w:r>
        <w:rPr>
          <w:rFonts w:ascii="Times New Roman" w:cs="Times New Roman" w:eastAsia="Times New Roman" w:hAnsi="Times New Roman"/>
          <w:sz w:val="18"/>
          <w:szCs w:val="18"/>
          <w:color w:val="auto"/>
        </w:rPr>
        <w:t>We have incurred, and expect to continue to incur, substantial expenses in connection with the Acquisition and the integration of Faeth. There are a large number of processes, policies, procedures, operations, technologies and systems that must be integrated, including accounting and finance, billing, payroll, and benefits. Both the Company and Faeth have incurred significant transaction expenses in connection with the drafting and negotiation of the Merger Agreement, and the related ancillary agreements. While we have assumed that a certain level of expenses will be incurred, there are many factors beyond our control that could affect the total amount or the timing of the integration expenses. Moreover, many of the expenses that will be incurred are, by their nature, difficult to estimate accurately. These integration expenses likely will result in our taking significant charges against earnings following the completion of the Acquisition, and the amount and timing of such charges are uncertain at present.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and clinical development plans and timelines, as well as the manufacturing, clinical trial and other business activities performed by us or by third parties with whom we conduct business, including our contract manufacturers, CROs, shippers, equipment suppliers and others, could be adversely affected by the effects of health epidemics.</w:t>
      </w:r>
    </w:p>
    <w:p>
      <w:pPr>
        <w:spacing w:after="0" w:line="67" w:lineRule="exact"/>
        <w:rPr>
          <w:sz w:val="20"/>
          <w:szCs w:val="20"/>
          <w:color w:val="auto"/>
        </w:rPr>
      </w:pPr>
    </w:p>
    <w:p>
      <w:pPr>
        <w:jc w:val="both"/>
        <w:ind w:right="100" w:firstLine="576"/>
        <w:spacing w:after="0" w:line="261" w:lineRule="auto"/>
        <w:rPr>
          <w:sz w:val="20"/>
          <w:szCs w:val="20"/>
          <w:color w:val="auto"/>
        </w:rPr>
      </w:pPr>
      <w:r>
        <w:rPr>
          <w:rFonts w:ascii="Times New Roman" w:cs="Times New Roman" w:eastAsia="Times New Roman" w:hAnsi="Times New Roman"/>
          <w:sz w:val="18"/>
          <w:szCs w:val="18"/>
          <w:color w:val="auto"/>
        </w:rPr>
        <w:t>Our business could be adversely affected by health epidemics wherever we have clinical trial sites or other business operations. In addition, health epidemics could cause significant disruption in the operations of third-party manufacturers, CROs and other third parties upon whom we rely. The effects of government orders may negatively impact productivity, disrupt our business and delay our clinical programs and timelines, the magnitude of which will depend, in part, on the length and severity of the restrictions and other limitations on our ability to conduct our business in the ordinary course.</w:t>
      </w:r>
    </w:p>
    <w:p>
      <w:pPr>
        <w:spacing w:after="0" w:line="72" w:lineRule="exact"/>
        <w:rPr>
          <w:sz w:val="20"/>
          <w:szCs w:val="20"/>
          <w:color w:val="auto"/>
        </w:rPr>
      </w:pPr>
    </w:p>
    <w:p>
      <w:pPr>
        <w:ind w:right="60" w:firstLine="576"/>
        <w:spacing w:after="0" w:line="256" w:lineRule="auto"/>
        <w:rPr>
          <w:sz w:val="20"/>
          <w:szCs w:val="20"/>
          <w:color w:val="auto"/>
        </w:rPr>
      </w:pPr>
      <w:r>
        <w:rPr>
          <w:rFonts w:ascii="Times New Roman" w:cs="Times New Roman" w:eastAsia="Times New Roman" w:hAnsi="Times New Roman"/>
          <w:sz w:val="18"/>
          <w:szCs w:val="18"/>
          <w:color w:val="auto"/>
        </w:rPr>
        <w:t>If our relationships with our suppliers or other vendors are terminated or scaled back as a result of health epidemics, we may not be able to enter into arrangements with alternative suppliers or vendors or do so on commercially reasonable terms or in a timely manner. Switching or adding additional suppliers or vendors involves substantial cost and requires management time and focus. In addition, there is a natural transition period when a new supplier or vendor commences work. As a result, delays may occur, which could adversely impact our ability to meet our desired clinical development and any future commercialization timelines. Although we carefully manage our relationships with our suppliers and vendors, there can be no assurance that we will not encounter challenges or delays in the future or that these delays or challenges will not harm our business.</w:t>
      </w:r>
    </w:p>
    <w:p>
      <w:pPr>
        <w:spacing w:after="0" w:line="79" w:lineRule="exact"/>
        <w:rPr>
          <w:sz w:val="20"/>
          <w:szCs w:val="20"/>
          <w:color w:val="auto"/>
        </w:rPr>
      </w:pPr>
    </w:p>
    <w:p>
      <w:pPr>
        <w:ind w:right="80" w:firstLine="576"/>
        <w:spacing w:after="0" w:line="256" w:lineRule="auto"/>
        <w:rPr>
          <w:sz w:val="20"/>
          <w:szCs w:val="20"/>
          <w:color w:val="auto"/>
        </w:rPr>
      </w:pPr>
      <w:r>
        <w:rPr>
          <w:rFonts w:ascii="Times New Roman" w:cs="Times New Roman" w:eastAsia="Times New Roman" w:hAnsi="Times New Roman"/>
          <w:sz w:val="18"/>
          <w:szCs w:val="18"/>
          <w:color w:val="auto"/>
        </w:rPr>
        <w:t>In addition, our preclinical studies and clinical trials may be affected by health epidemics. Clinical site initiation, patient enrollment and activities that require visits to clinical sites, including data monitoring, may be delayed due to prioritization of hospital resources toward the pandemic or concerns among patients about participating in clinical trials during a pandemic. Some patients may have difficulty following certain aspects of clinical trial protocols if quarantines impede patient movement or interrupt healthcare services. These challenges may also increase the costs of completing our clinical trials. Similarly, if we are unable to successfully recruit and retain patients and principal investigators and site staff who, as healthcare providers, may have heightened exposure or experience additional restrictions by their institutions, city or state, our clinical trial operations could be adversely impacted.</w:t>
      </w:r>
    </w:p>
    <w:p>
      <w:pPr>
        <w:spacing w:after="0" w:line="75"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systems or data, or those of our collaborators, contractors, consultants or other third parties with whom we work, are or were compromised, we could experience adverse consequences, including but not limited to regulatory investigations or actions; litigation; fines and penalties; significant disruption of our product development programs and our ability to operate our business effectively; reputational harm; and other adverse consequences.</w:t>
      </w:r>
    </w:p>
    <w:p>
      <w:pPr>
        <w:spacing w:after="0" w:line="72" w:lineRule="exact"/>
        <w:rPr>
          <w:sz w:val="20"/>
          <w:szCs w:val="20"/>
          <w:color w:val="auto"/>
        </w:rPr>
      </w:pPr>
    </w:p>
    <w:p>
      <w:pPr>
        <w:ind w:right="40" w:firstLine="576"/>
        <w:spacing w:after="0" w:line="282"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with whom we work, process, collect, receive, store, process, generate, use, transfer, disclose, make accessible, protect, secure, dispose of, transmit, and share, or, collectively, process, proprietary,</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color w:val="auto"/>
        </w:rPr>
        <w:t>confidential, and sensitive data, including personal data, intellectual property, trade secrets and clinical trial data, or, collectively, sensitive information.</w:t>
      </w:r>
    </w:p>
    <w:p>
      <w:pPr>
        <w:spacing w:after="0" w:line="117" w:lineRule="exact"/>
        <w:rPr>
          <w:sz w:val="20"/>
          <w:szCs w:val="20"/>
          <w:color w:val="auto"/>
        </w:rPr>
      </w:pPr>
    </w:p>
    <w:p>
      <w:pPr>
        <w:ind w:right="40" w:firstLine="576"/>
        <w:spacing w:after="0" w:line="254" w:lineRule="auto"/>
        <w:rPr>
          <w:sz w:val="20"/>
          <w:szCs w:val="20"/>
          <w:color w:val="auto"/>
        </w:rPr>
      </w:pPr>
      <w:r>
        <w:rPr>
          <w:rFonts w:ascii="Times New Roman" w:cs="Times New Roman" w:eastAsia="Times New Roman" w:hAnsi="Times New Roman"/>
          <w:sz w:val="18"/>
          <w:szCs w:val="18"/>
          <w:color w:val="auto"/>
        </w:rPr>
        <w:t>Cyber-attacks, malicious internet-based activity, online and offline fraud, and other similar activities threaten the confidentiality, integrity, and availability of our sensitive information and information technology systems, and those of the third parties with whom we work.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threat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with whom we work may be vulnerable to a heightened risk of these attacks, including retaliatory cyber-attacks, that could materially disrupt our systems and operations, supply chain, and ability to produce, sell and distribute our goods and services.</w:t>
      </w:r>
    </w:p>
    <w:p>
      <w:pPr>
        <w:spacing w:after="0" w:line="84" w:lineRule="exact"/>
        <w:rPr>
          <w:sz w:val="20"/>
          <w:szCs w:val="20"/>
          <w:color w:val="auto"/>
        </w:rPr>
      </w:pPr>
    </w:p>
    <w:p>
      <w:pPr>
        <w:ind w:firstLine="576"/>
        <w:spacing w:after="0" w:line="254" w:lineRule="auto"/>
        <w:rPr>
          <w:sz w:val="20"/>
          <w:szCs w:val="20"/>
          <w:color w:val="auto"/>
        </w:rPr>
      </w:pPr>
      <w:r>
        <w:rPr>
          <w:rFonts w:ascii="Times New Roman" w:cs="Times New Roman" w:eastAsia="Times New Roman" w:hAnsi="Times New Roman"/>
          <w:sz w:val="18"/>
          <w:szCs w:val="18"/>
          <w:color w:val="auto"/>
        </w:rPr>
        <w:t>We and the third parties with whom we work are subject to a variety of evolving threats, including but not limited to computer viruses, malicious or unintentional actions or inactions that cause vulnerabilities, malware, software or hardware failure, supply chain attacks, social engineering (including through deep fakes, which may be increasingly more difficult to identify as fake, and phishing), credential stuffing, ransomware, unauthorized access, attacks enhanced or facilitated by artificial intelligence, or AI, natural disasters, terrorism, war and telecommunication and electrical failures. In particular, ransomware attacks, including those perpetrated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84" w:lineRule="exact"/>
        <w:rPr>
          <w:sz w:val="20"/>
          <w:szCs w:val="20"/>
          <w:color w:val="auto"/>
        </w:rPr>
      </w:pPr>
    </w:p>
    <w:p>
      <w:pPr>
        <w:ind w:right="120" w:firstLine="576"/>
        <w:spacing w:after="0" w:line="256" w:lineRule="auto"/>
        <w:rPr>
          <w:sz w:val="20"/>
          <w:szCs w:val="20"/>
          <w:color w:val="auto"/>
        </w:rPr>
      </w:pPr>
      <w:r>
        <w:rPr>
          <w:rFonts w:ascii="Times New Roman" w:cs="Times New Roman" w:eastAsia="Times New Roman" w:hAnsi="Times New Roman"/>
          <w:sz w:val="18"/>
          <w:szCs w:val="18"/>
          <w:color w:val="auto"/>
        </w:rPr>
        <w:t>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w:t>
      </w:r>
    </w:p>
    <w:p>
      <w:pPr>
        <w:spacing w:after="0" w:line="79" w:lineRule="exact"/>
        <w:rPr>
          <w:sz w:val="20"/>
          <w:szCs w:val="20"/>
          <w:color w:val="auto"/>
        </w:rPr>
      </w:pPr>
    </w:p>
    <w:p>
      <w:pPr>
        <w:ind w:right="60" w:firstLine="576"/>
        <w:spacing w:after="0" w:line="261" w:lineRule="auto"/>
        <w:rPr>
          <w:sz w:val="20"/>
          <w:szCs w:val="20"/>
          <w:color w:val="auto"/>
        </w:rPr>
      </w:pPr>
      <w:r>
        <w:rPr>
          <w:rFonts w:ascii="Times New Roman" w:cs="Times New Roman" w:eastAsia="Times New Roman" w:hAnsi="Times New Roman"/>
          <w:sz w:val="18"/>
          <w:szCs w:val="18"/>
          <w:color w:val="auto"/>
        </w:rPr>
        <w:t>Future or past business transactions (such as acquisitions or mergers)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72" w:lineRule="exact"/>
        <w:rPr>
          <w:sz w:val="20"/>
          <w:szCs w:val="20"/>
          <w:color w:val="auto"/>
        </w:rPr>
      </w:pPr>
    </w:p>
    <w:p>
      <w:pPr>
        <w:ind w:right="80" w:firstLine="576"/>
        <w:spacing w:after="0" w:line="254" w:lineRule="auto"/>
        <w:rPr>
          <w:sz w:val="20"/>
          <w:szCs w:val="20"/>
          <w:color w:val="auto"/>
        </w:rPr>
      </w:pPr>
      <w:r>
        <w:rPr>
          <w:rFonts w:ascii="Times New Roman" w:cs="Times New Roman" w:eastAsia="Times New Roman" w:hAnsi="Times New Roman"/>
          <w:sz w:val="18"/>
          <w:szCs w:val="18"/>
          <w:color w:val="auto"/>
        </w:rPr>
        <w:t>In addition, our reliance on third-party service providers could introduce new cybersecurity risks and vulnerabilities, and other threats to our business operations. For example, we rely on third parties to operate critical business systems and process sensitive data in a variety of contexts, including, without limitation, cloud-based infrastructure, data center facilities, encryption and authentication technology, personnel email, and other functions. We also rely on third parties, including CROs, clinical trial sites and clinical trial vendors, to collect, store, and transmit sensitive data as part of our research activities. Our ability to monitor these third parties is limited, and these third parties may not have adequate information security measures.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damages, or we may be unable to recover such awards. Supply-chain attacks have also increased in frequency and severity, and we cannot guarantee that third parties’ infrastructure in our supply chain or our third-party partners’ supply chains have not been compromised.</w:t>
      </w:r>
    </w:p>
    <w:p>
      <w:pPr>
        <w:spacing w:after="0" w:line="80" w:lineRule="exact"/>
        <w:rPr>
          <w:sz w:val="20"/>
          <w:szCs w:val="20"/>
          <w:color w:val="auto"/>
        </w:rPr>
      </w:pPr>
    </w:p>
    <w:p>
      <w:pPr>
        <w:ind w:right="160" w:firstLine="576"/>
        <w:spacing w:after="0" w:line="282" w:lineRule="auto"/>
        <w:rPr>
          <w:sz w:val="20"/>
          <w:szCs w:val="20"/>
          <w:color w:val="auto"/>
        </w:rPr>
      </w:pPr>
      <w:r>
        <w:rPr>
          <w:rFonts w:ascii="Times New Roman" w:cs="Times New Roman" w:eastAsia="Times New Roman" w:hAnsi="Times New Roman"/>
          <w:sz w:val="18"/>
          <w:szCs w:val="18"/>
          <w:color w:val="auto"/>
        </w:rPr>
        <w:t>Remote work has increased risks to our information systems and data, as personnel utilize network connections, computers and devices outside of our premises or network.</w:t>
      </w:r>
    </w:p>
    <w:p>
      <w:pPr>
        <w:spacing w:after="0" w:line="54" w:lineRule="exact"/>
        <w:rPr>
          <w:sz w:val="20"/>
          <w:szCs w:val="20"/>
          <w:color w:val="auto"/>
        </w:rPr>
      </w:pPr>
    </w:p>
    <w:p>
      <w:pPr>
        <w:ind w:right="20" w:firstLine="576"/>
        <w:spacing w:after="0" w:line="258"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with whom we work). We have not and may not in the future, however, detect and remediate all such vulnerabilities, including on a timely basis. Further, we have and may in the future experience delays in developing and deploying remedial measures and patches designed to address identified vulnerabilities. Vulnerabilities could be exploited and result in a security incident.</w:t>
      </w:r>
    </w:p>
    <w:p>
      <w:pPr>
        <w:spacing w:after="0" w:line="75" w:lineRule="exact"/>
        <w:rPr>
          <w:sz w:val="20"/>
          <w:szCs w:val="20"/>
          <w:color w:val="auto"/>
        </w:rPr>
      </w:pPr>
    </w:p>
    <w:p>
      <w:pPr>
        <w:ind w:right="140" w:firstLine="576"/>
        <w:spacing w:after="0" w:line="261" w:lineRule="auto"/>
        <w:rPr>
          <w:sz w:val="20"/>
          <w:szCs w:val="20"/>
          <w:color w:val="auto"/>
        </w:rPr>
      </w:pPr>
      <w:r>
        <w:rPr>
          <w:rFonts w:ascii="Times New Roman" w:cs="Times New Roman" w:eastAsia="Times New Roman" w:hAnsi="Times New Roman"/>
          <w:sz w:val="18"/>
          <w:szCs w:val="18"/>
          <w:color w:val="auto"/>
        </w:rPr>
        <w:t>Any of the previously identified or similar threats have in the past and may in the future cause a security incident or other interruption that have in the past and may in the future result in unauthorized, unlawful, or accidental acquisition, modification, destruction, loss, alteration, encryption, disclosure of, or access to our sensitive information or our information technology systems, or those of the third parties with whom we work. A security incident or other interruption could disrupt our ability (and that of third parties with whom we work) to operate our business.</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7" w:name="page78"/>
    <w:bookmarkEnd w:id="77"/>
    <w:p>
      <w:pPr>
        <w:ind w:firstLine="576"/>
        <w:spacing w:after="0" w:line="266" w:lineRule="auto"/>
        <w:rPr>
          <w:sz w:val="20"/>
          <w:szCs w:val="20"/>
          <w:color w:val="auto"/>
        </w:rPr>
      </w:pPr>
      <w:r>
        <w:rPr>
          <w:rFonts w:ascii="Times New Roman" w:cs="Times New Roman" w:eastAsia="Times New Roman" w:hAnsi="Times New Roman"/>
          <w:sz w:val="18"/>
          <w:szCs w:val="18"/>
          <w:color w:val="auto"/>
        </w:rPr>
        <w:t>We have in the past and may in the future expend significant resources or modify our business activities (including our clinical trial activities) in an effort to protect against security incidents, particularly where required by applicable data privacy and security laws or regulations or industry standards. Certain data privacy and security obligations require us to implement and maintain certain security measures.</w:t>
      </w:r>
    </w:p>
    <w:p>
      <w:pPr>
        <w:spacing w:after="0" w:line="68" w:lineRule="exact"/>
        <w:rPr>
          <w:sz w:val="20"/>
          <w:szCs w:val="20"/>
          <w:color w:val="auto"/>
        </w:rPr>
      </w:pPr>
    </w:p>
    <w:p>
      <w:pPr>
        <w:ind w:right="80" w:firstLine="576"/>
        <w:spacing w:after="0" w:line="261" w:lineRule="auto"/>
        <w:rPr>
          <w:sz w:val="20"/>
          <w:szCs w:val="20"/>
          <w:color w:val="auto"/>
        </w:rPr>
      </w:pPr>
      <w:r>
        <w:rPr>
          <w:rFonts w:ascii="Times New Roman" w:cs="Times New Roman" w:eastAsia="Times New Roman" w:hAnsi="Times New Roman"/>
          <w:sz w:val="18"/>
          <w:szCs w:val="18"/>
          <w:color w:val="auto"/>
        </w:rPr>
        <w:t>Applicable data privacy and security obligations may require us, or we may voluntarily choose, to notify relevant stakeholders, including affected individuals, customers, regulators, and investors, of security incidents, or to take other actions, such as providing credit monitoring and identity theft protection services. Such disclosures and related actions can be costly, and the disclosure or the failure to comply with such applicable requirements could lead to adverse consequences.</w:t>
      </w:r>
    </w:p>
    <w:p>
      <w:pPr>
        <w:spacing w:after="0" w:line="72" w:lineRule="exact"/>
        <w:rPr>
          <w:sz w:val="20"/>
          <w:szCs w:val="20"/>
          <w:color w:val="auto"/>
        </w:rPr>
      </w:pPr>
    </w:p>
    <w:p>
      <w:pPr>
        <w:ind w:firstLine="576"/>
        <w:spacing w:after="0" w:line="254" w:lineRule="auto"/>
        <w:rPr>
          <w:sz w:val="20"/>
          <w:szCs w:val="20"/>
          <w:color w:val="auto"/>
        </w:rPr>
      </w:pPr>
      <w:r>
        <w:rPr>
          <w:rFonts w:ascii="Times New Roman" w:cs="Times New Roman" w:eastAsia="Times New Roman" w:hAnsi="Times New Roman"/>
          <w:sz w:val="18"/>
          <w:szCs w:val="18"/>
          <w:color w:val="auto"/>
        </w:rPr>
        <w:t>If we (or a third party with whom we work) experience a security incident or are perceived to have experienced a security incident, this could result in a disruption of our development programs and our business operations, whether due to a loss of our trade secrets or other proprietary information, significant delays or setbacks in our research, or other similar disruptions. For example, the loss of clinical trial data from completed or future clinical trials could result in delays in our regulatory approval efforts and significantly increase our costs to recover or reproduce the data. Such an actual or perceived security incident could also cause us to experience other adverse consequences, such as: loss of, or damage to, our data or applications, inappropriate disclosure of confidential or proprietary information, legal liability, exposure to litigation (including class claims) and regulatory enforcement action (for example, investigations, fines, penalties, audits and inspections), additional reporting requirements and/or oversight, fines, penalties, indemnification obligations, harm to our competitive position, reputational damage, and delay in the further development and commercialization of our product candidates.</w:t>
      </w:r>
    </w:p>
    <w:p>
      <w:pPr>
        <w:spacing w:after="0" w:line="84" w:lineRule="exact"/>
        <w:rPr>
          <w:sz w:val="20"/>
          <w:szCs w:val="20"/>
          <w:color w:val="auto"/>
        </w:rPr>
      </w:pPr>
    </w:p>
    <w:p>
      <w:pPr>
        <w:ind w:firstLine="576"/>
        <w:spacing w:after="0" w:line="261"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Additionally, we cannot be certain that our insurance coverage will be adequate for data security liabilities actually incurred, will continue to be available to us on economically and commercially reasonable terms, or at all, or that any insurer will not deny coverage as to any future claim.</w:t>
      </w:r>
    </w:p>
    <w:p>
      <w:pPr>
        <w:spacing w:after="0" w:line="72" w:lineRule="exact"/>
        <w:rPr>
          <w:sz w:val="20"/>
          <w:szCs w:val="20"/>
          <w:color w:val="auto"/>
        </w:rPr>
      </w:pPr>
    </w:p>
    <w:p>
      <w:pPr>
        <w:ind w:right="20" w:firstLine="576"/>
        <w:spacing w:after="0" w:line="261" w:lineRule="auto"/>
        <w:rPr>
          <w:sz w:val="20"/>
          <w:szCs w:val="20"/>
          <w:color w:val="auto"/>
        </w:rPr>
      </w:pPr>
      <w:r>
        <w:rPr>
          <w:rFonts w:ascii="Times New Roman" w:cs="Times New Roman" w:eastAsia="Times New Roman" w:hAnsi="Times New Roman"/>
          <w:sz w:val="18"/>
          <w:szCs w:val="18"/>
          <w:color w:val="auto"/>
        </w:rPr>
        <w:t>In addition to experiencing a security incident, third parties may gather, collect, or infer sensitive information about us from public sources, data brokers, or other means that reveal competitively sensitive details about the company and could be used to undermine our competitive advantage or market position. Additionally, sensitive information of ours could be leaked, disclosed, or revealed as a result of or in connection with our employees’, personnel’s, or vendors’ use of generative AI technologies.</w:t>
      </w:r>
    </w:p>
    <w:p>
      <w:pPr>
        <w:spacing w:after="0" w:line="176"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and the third parties with whom we work are subject to rapidly changing and increasingly stringent U.S. and foreign laws, regulations, and rules; contractual obligations; industry standards; policies and other obligations relating to privacy, data protection and information security. Our actual or perceived failure (or that of the third parties with whom we work) to comply with these obligations could lead to regulatory investigations or actions; litigation (including class claims) and mass arbitration demands; fines and penalties; disruptions of business operations; reputational harm; loss of revenue or profits; and other adverse business consequences.</w:t>
      </w:r>
    </w:p>
    <w:p>
      <w:pPr>
        <w:spacing w:after="0" w:line="75" w:lineRule="exact"/>
        <w:rPr>
          <w:sz w:val="20"/>
          <w:szCs w:val="20"/>
          <w:color w:val="auto"/>
        </w:rPr>
      </w:pPr>
    </w:p>
    <w:p>
      <w:pPr>
        <w:ind w:right="80" w:firstLine="576"/>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we process personal data and other sensitive information. 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68" w:lineRule="exact"/>
        <w:rPr>
          <w:sz w:val="20"/>
          <w:szCs w:val="20"/>
          <w:color w:val="auto"/>
        </w:rPr>
      </w:pPr>
    </w:p>
    <w:p>
      <w:pPr>
        <w:ind w:right="20" w:firstLine="576"/>
        <w:spacing w:after="0" w:line="252"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privacy and data security laws, including federal and state health information privacy laws, federal and state security breach notification laws, federal and state consumer protection laws, and other similar laws (e.g., wiretapping laws). For example, at the federal level, HIPAA, as amended by HITECH, imposes specific requirements relating to the privacy, security and transmission of individually identifiable health information. Additionally, many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if we become subject to these laws.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(“CCPA”) applies to personal data of consumers, business representatives, and employees who are California residents and requires businesses subject to the CCPA to provide specific disclosures in privacy notices and respond to requests of such individuals to exercise certain rights concerning their personal data. The CCPA provides fines for noncompliance and a limited private right of action in connection with certain data breaches. While the CCPA and other U.S. state comprehensive consumer privacy laws exempt certain personal data processed in connection with clinical trials, these developments could further complicate compliance efforts, and increase legal risk and compliance costs for us and the third parties with whom we work should we become subject to these laws. Similar laws have been passed or are being considered in several other states, as well as at the federal and local levels, and we expect</w:t>
      </w: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78" w:name="page79"/>
    <w:bookmarkEnd w:id="78"/>
    <w:p>
      <w:pPr>
        <w:ind w:right="260"/>
        <w:spacing w:after="0" w:line="266" w:lineRule="auto"/>
        <w:rPr>
          <w:sz w:val="20"/>
          <w:szCs w:val="20"/>
          <w:color w:val="auto"/>
        </w:rPr>
      </w:pPr>
      <w:r>
        <w:rPr>
          <w:rFonts w:ascii="Times New Roman" w:cs="Times New Roman" w:eastAsia="Times New Roman" w:hAnsi="Times New Roman"/>
          <w:sz w:val="18"/>
          <w:szCs w:val="18"/>
          <w:color w:val="auto"/>
        </w:rPr>
        <w:t>more governments to pass similar laws in the future. The evolving patchwork of local, state and federal privacy and data security laws increases the cost and complexity of operating our business and increases our exposure to liability, including from third party litigation and regulatory investigations, enforcement, fines, and penalties.</w:t>
      </w:r>
    </w:p>
    <w:p>
      <w:pPr>
        <w:spacing w:after="0" w:line="68" w:lineRule="exact"/>
        <w:rPr>
          <w:sz w:val="20"/>
          <w:szCs w:val="20"/>
          <w:color w:val="auto"/>
        </w:rPr>
      </w:pPr>
    </w:p>
    <w:p>
      <w:pPr>
        <w:ind w:right="40" w:firstLine="576"/>
        <w:spacing w:after="0" w:line="253"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govern data privacy and security. For example, the European Union’s General Data Protection Regulation (“EU GDPR”) the United Kingdom’s General Data Protection Regulation (“UK GDPR”) (collectively, “GDPR”), Brazil’s General Data Protection Law (Lei Geral de Proteção de Dados Pessoais, or “LGPD”) (Law No. 13,709/2018), and India’s Information Technology Act and supplementary rules, impose strict requirements for processing personal data. The EU GDPR governs the collection, use, disclosure, transfer or other processing of personal data of European Economic Area (“EEA”) residents. Among other things, the EU GDPR imposes requirements regarding the security of personal data and notification of data processing obligations to the competent national data processing authorities, changes the lawful bases on which personal data can be processed, expands the definition of personal data over prior EU law and requires changes to informed consent practices, as well as more detailed notices for clinical trial subjects and investigators. The EU GDPR also provides for substantial fines for breaches and violations (up to the greater of €20 million or 4% of annual global revenue). The EU GDPR also confers a private right of action on data subjects and consumer associations to lodge complaints with supervisory authorities, seek judicial remedies and obtain compensation for damages resulting from violations of the EU GDPR.</w:t>
      </w:r>
    </w:p>
    <w:p>
      <w:pPr>
        <w:spacing w:after="0" w:line="84" w:lineRule="exact"/>
        <w:rPr>
          <w:sz w:val="20"/>
          <w:szCs w:val="20"/>
          <w:color w:val="auto"/>
        </w:rPr>
      </w:pPr>
    </w:p>
    <w:p>
      <w:pPr>
        <w:ind w:firstLine="576"/>
        <w:spacing w:after="0" w:line="251" w:lineRule="auto"/>
        <w:rPr>
          <w:sz w:val="20"/>
          <w:szCs w:val="20"/>
          <w:color w:val="auto"/>
        </w:rPr>
      </w:pPr>
      <w:r>
        <w:rPr>
          <w:rFonts w:ascii="Times New Roman" w:cs="Times New Roman" w:eastAsia="Times New Roman" w:hAnsi="Times New Roman"/>
          <w:sz w:val="18"/>
          <w:szCs w:val="18"/>
          <w:color w:val="auto"/>
        </w:rPr>
        <w:t>We increasingly use artificial intelligence and machine learning tools across our operations and business functions, and we expect our use of such tools to expand over time. While we believe that the responsible use of AI tools can enhance our operational efficiency, these tools present risks that could adversely affect our business. AI-generated outputs may be inaccurate, incomplete, or misleading, and reliance on such outputs without adequate human oversight could result in errors in regulatory submissions, clinical or scientific analyses, contractual provisions, or public disclosures. In addition, the input of proprietary, confidential, or sensitive information into third-party AI platforms could result in the inadvertent disclosure of trade secrets, attorney-client privileged materials, or material nonpublic information. The regulatory landscape governing the use of AI in the life sciences and pharmaceutical industries is rapidly evolving, and new laws, regulations, or guidance — including those arising from the current administration’s policy initiatives — could impose additional compliance obligations, restrict certain uses of AI tools, or increase our exposure to regulatory enforcement actions or litigation. Any failure to adequately govern our use of AI tools could result in reputational harm, regulatory scrutiny, or legal liability. In the ordinary course of business, we transfer personal data from Europe and other jurisdictions to the United States or other countries. Europe and other jurisdictions have enacted laws requiring data to be localized or limiting the transfer of personal data to other countries. In particular, the EEA and the UK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 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spacing w:after="0" w:line="96" w:lineRule="exact"/>
        <w:rPr>
          <w:sz w:val="20"/>
          <w:szCs w:val="20"/>
          <w:color w:val="auto"/>
        </w:rPr>
      </w:pPr>
    </w:p>
    <w:p>
      <w:pPr>
        <w:ind w:right="100" w:firstLine="576"/>
        <w:spacing w:after="0" w:line="254" w:lineRule="auto"/>
        <w:rPr>
          <w:sz w:val="20"/>
          <w:szCs w:val="20"/>
          <w:color w:val="auto"/>
        </w:rPr>
      </w:pPr>
      <w:r>
        <w:rPr>
          <w:rFonts w:ascii="Times New Roman" w:cs="Times New Roman" w:eastAsia="Times New Roman" w:hAnsi="Times New Roman"/>
          <w:sz w:val="18"/>
          <w:szCs w:val="18"/>
          <w:color w:val="auto"/>
        </w:rPr>
        <w:t>Additionally, the U.S. Department of Justice issued a rule entitled Preventing Access to U.S. Sensitive Personal Data and Government-Related Data by Countries of Concern or Covered Persons, which places additional restrictions on certain data transactions involving countries of concern (e.g., China, Russia, Iran) and covered persons (i.e., individuals and entities who are designated as such by the U.S. Attorney General or are considered “foreign persons” and majority owned by, organized under the laws of, primarily resident in, or a contractor of a covered person or country of concern, as applicable) that impacts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transfer data in connection with certain transactions or agreements.</w:t>
      </w:r>
    </w:p>
    <w:p>
      <w:pPr>
        <w:spacing w:after="0" w:line="84" w:lineRule="exact"/>
        <w:rPr>
          <w:sz w:val="20"/>
          <w:szCs w:val="20"/>
          <w:color w:val="auto"/>
        </w:rPr>
      </w:pPr>
    </w:p>
    <w:p>
      <w:pPr>
        <w:ind w:right="100" w:firstLine="576"/>
        <w:spacing w:after="0" w:line="261" w:lineRule="auto"/>
        <w:rPr>
          <w:sz w:val="20"/>
          <w:szCs w:val="20"/>
          <w:color w:val="auto"/>
        </w:rPr>
      </w:pPr>
      <w:r>
        <w:rPr>
          <w:rFonts w:ascii="Times New Roman" w:cs="Times New Roman" w:eastAsia="Times New Roman" w:hAnsi="Times New Roman"/>
          <w:sz w:val="18"/>
          <w:szCs w:val="18"/>
          <w:color w:val="auto"/>
        </w:rPr>
        <w:t>In addition to data privacy and security laws, we are and may in the future become bound by contractual obligations and industry standards related to data privacy and security, and our efforts to comply with such obligations may not be successful. We publish privacy policies and other statements regarding data privacy and security. Regulators are increasingly scrutinizing these statements, and if these statements are found to be deficient, lacking in transparency, deceptive, unfair, misleading or</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color w:val="auto"/>
        </w:rPr>
        <w:t>misrepresentative of our practices, we may be subject to investigation, enforcement actions by regulators or other adverse consequences.</w:t>
      </w:r>
    </w:p>
    <w:p>
      <w:pPr>
        <w:spacing w:after="0" w:line="117" w:lineRule="exact"/>
        <w:rPr>
          <w:sz w:val="20"/>
          <w:szCs w:val="20"/>
          <w:color w:val="auto"/>
        </w:rPr>
      </w:pPr>
    </w:p>
    <w:p>
      <w:pPr>
        <w:ind w:right="40" w:firstLine="576"/>
        <w:spacing w:after="0" w:line="256" w:lineRule="auto"/>
        <w:rPr>
          <w:sz w:val="20"/>
          <w:szCs w:val="20"/>
          <w:color w:val="auto"/>
        </w:rPr>
      </w:pPr>
      <w:r>
        <w:rPr>
          <w:rFonts w:ascii="Times New Roman" w:cs="Times New Roman" w:eastAsia="Times New Roman" w:hAnsi="Times New Roman"/>
          <w:sz w:val="18"/>
          <w:szCs w:val="18"/>
          <w:color w:val="auto"/>
        </w:rPr>
        <w:t>Obligations related to data privacy and security (and consumers’ data privacy obligations) are quickly changing, becoming increasingly stringent, and creating uncertainty. These obligations may be subject to differing applications and interpretations, which may be inconsistent or in conflict among jurisdictions. Monitoring, preparing for and complying with these obligations requires us to devote significant resources (including, without limitation, financial and time-related resources). These obligations have in the past and may in the future necessitate changes to our information technologies, systems and practices and to those of any third parties that process personal data on our behalf. In addition, these obligations may require us to change aspects of our business model or our clinical trials.</w:t>
      </w:r>
    </w:p>
    <w:p>
      <w:pPr>
        <w:spacing w:after="0" w:line="79" w:lineRule="exact"/>
        <w:rPr>
          <w:sz w:val="20"/>
          <w:szCs w:val="20"/>
          <w:color w:val="auto"/>
        </w:rPr>
      </w:pPr>
    </w:p>
    <w:p>
      <w:pPr>
        <w:ind w:firstLine="576"/>
        <w:spacing w:after="0" w:line="253" w:lineRule="auto"/>
        <w:rPr>
          <w:sz w:val="20"/>
          <w:szCs w:val="20"/>
          <w:color w:val="auto"/>
        </w:rPr>
      </w:pPr>
      <w:r>
        <w:rPr>
          <w:rFonts w:ascii="Times New Roman" w:cs="Times New Roman" w:eastAsia="Times New Roman" w:hAnsi="Times New Roman"/>
          <w:sz w:val="18"/>
          <w:szCs w:val="18"/>
          <w:color w:val="auto"/>
        </w:rPr>
        <w:t>Although we endeavor to comply with applicable data privacy and security obligations, we may at times fail (or be perceived to have failed) to do so. Moreover, despite our efforts, our personnel or third parties upon whom we rely may fail to comply with such obligations, which could negatively impact our business operations. If we (or third parties with whom we work) fail, or are perceived to have failed, to address or comply with data privacy, protection and security obligations, we could face significant consequences, including (without limitation): government enforcement actions (e.g., investigations, fines, penalties, audits, inspections and similar); litigation (including class claims) and mass arbitration demands; additional reporting requirements and/or oversight; bans or restrictions on processing personal data; orders to destroy or not use personal data; and/or imprisonment of company officials. In particular, plaintiffs have become increasingly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interruptions or stoppages in our business operations (including our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seriously harm our future revenue and financial condition and increase our costs and expenses.</w:t>
      </w:r>
    </w:p>
    <w:p>
      <w:pPr>
        <w:spacing w:after="0" w:line="121" w:lineRule="exact"/>
        <w:rPr>
          <w:sz w:val="20"/>
          <w:szCs w:val="20"/>
          <w:color w:val="auto"/>
        </w:rPr>
      </w:pPr>
    </w:p>
    <w:p>
      <w:pPr>
        <w:ind w:right="160" w:firstLine="576"/>
        <w:spacing w:after="0" w:line="256" w:lineRule="auto"/>
        <w:rPr>
          <w:sz w:val="20"/>
          <w:szCs w:val="20"/>
          <w:color w:val="auto"/>
        </w:rPr>
      </w:pPr>
      <w:r>
        <w:rPr>
          <w:rFonts w:ascii="Times New Roman" w:cs="Times New Roman" w:eastAsia="Times New Roman" w:hAnsi="Times New Roman"/>
          <w:sz w:val="18"/>
          <w:szCs w:val="18"/>
          <w:color w:val="auto"/>
        </w:rPr>
        <w:t>Our operations, and those of our vendors and suppliers, could be subject to power shortages, telecommunications failures, water shortages, civil unrest, labor disputes, violence, earthquakes, floods, hurricanes, typhoons, fires, extreme weather conditions, infectious disease, medical epidemics and other natural or man-made disasters or business interruptions, for which we are predominantly self-insured. The occurrence of any of these business disruptions could seriously harm our operations and financial condition and increase our costs and expenses. We currently rely on third-party suppliers to produce and process our product candidates on a patient-by-patient basis. Our ability to obtain clinical supplies of our product candidates could be disrupted if the operations of these suppliers are affected by a man-made or natural disaster or other business interruption.</w:t>
      </w:r>
    </w:p>
    <w:p>
      <w:pPr>
        <w:spacing w:after="0" w:line="7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or publish unfavorable research or reports, about us, our business or our market, the price and trading volume of our common stock could decline.</w:t>
      </w:r>
    </w:p>
    <w:p>
      <w:pPr>
        <w:spacing w:after="0" w:line="51" w:lineRule="exact"/>
        <w:rPr>
          <w:sz w:val="20"/>
          <w:szCs w:val="20"/>
          <w:color w:val="auto"/>
        </w:rPr>
      </w:pPr>
    </w:p>
    <w:p>
      <w:pPr>
        <w:ind w:firstLine="576"/>
        <w:spacing w:after="0" w:line="255"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equity research analysts publish about us and our business. As a public company, we have only limited research coverage by equity research analysts. Equity research analysts may elect not to initiate or continue to provide research coverage of our common stock, and such lack of research coverage may adversely affect the market price of our common stock. Even if we continue to have equity research analyst coverage, we will not have any control over the analysts or the content and opinions included in their reports. The price of our common stock could decline if one or more equity research analysts downgrade our common stock or issue other unfavorable commentary or research about us. If one or more equity research analysts ceases coverage of us or fails to publish reports on us regularly, demand for our common stock could decrease, which in turn could cause the trading price or trading volume of our common stock to decline.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ind w:left="520" w:right="7400" w:hanging="512"/>
        <w:spacing w:after="0" w:line="412" w:lineRule="auto"/>
        <w:tabs>
          <w:tab w:leader="none" w:pos="266"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Recent Sales of Unregistered Equity Securities </w:t>
      </w:r>
      <w:r>
        <w:rPr>
          <w:rFonts w:ascii="Times New Roman" w:cs="Times New Roman" w:eastAsia="Times New Roman" w:hAnsi="Times New Roman"/>
          <w:sz w:val="18"/>
          <w:szCs w:val="18"/>
          <w:color w:val="auto"/>
        </w:rPr>
        <w:t>None.</w:t>
      </w:r>
    </w:p>
    <w:p>
      <w:pPr>
        <w:spacing w:after="0" w:line="153" w:lineRule="exact"/>
        <w:rPr>
          <w:rFonts w:ascii="Times New Roman" w:cs="Times New Roman" w:eastAsia="Times New Roman" w:hAnsi="Times New Roman"/>
          <w:sz w:val="18"/>
          <w:szCs w:val="18"/>
          <w:b w:val="1"/>
          <w:bCs w:val="1"/>
          <w:color w:val="auto"/>
        </w:rPr>
      </w:pPr>
    </w:p>
    <w:p>
      <w:pPr>
        <w:ind w:left="520" w:right="6140" w:hanging="512"/>
        <w:spacing w:after="0" w:line="412" w:lineRule="auto"/>
        <w:tabs>
          <w:tab w:leader="none" w:pos="276"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Use of Proceeds from Initial Public Offering of Common Stock </w:t>
      </w:r>
      <w:r>
        <w:rPr>
          <w:rFonts w:ascii="Times New Roman" w:cs="Times New Roman" w:eastAsia="Times New Roman" w:hAnsi="Times New Roman"/>
          <w:sz w:val="18"/>
          <w:szCs w:val="18"/>
          <w:color w:val="auto"/>
        </w:rPr>
        <w:t>Not applicable.</w:t>
      </w:r>
    </w:p>
    <w:p>
      <w:pPr>
        <w:spacing w:after="0" w:line="153" w:lineRule="exact"/>
        <w:rPr>
          <w:rFonts w:ascii="Times New Roman" w:cs="Times New Roman" w:eastAsia="Times New Roman" w:hAnsi="Times New Roman"/>
          <w:sz w:val="18"/>
          <w:szCs w:val="18"/>
          <w:b w:val="1"/>
          <w:bCs w:val="1"/>
          <w:color w:val="auto"/>
        </w:rPr>
      </w:pPr>
    </w:p>
    <w:p>
      <w:pPr>
        <w:ind w:left="260" w:hanging="252"/>
        <w:spacing w:after="0"/>
        <w:tabs>
          <w:tab w:leader="none" w:pos="2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Trading Plans</w:t>
      </w:r>
    </w:p>
    <w:p>
      <w:pPr>
        <w:spacing w:after="0" w:line="119"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During the fiscal quarter ended March 31, 2026, none of our officers or directors, as defined in Rule 16a-1(f), adopted, modified or terminated a "Rule 10b5-1 trading arrangement" or a "non-Rule 10b5-1 trading arrangement," as those terms are defined in Item 408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 Financial Statement Schedules.</w:t>
      </w:r>
    </w:p>
    <w:p>
      <w:pPr>
        <w:spacing w:after="0" w:line="12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7"/>
          <w:szCs w:val="17"/>
          <w:color w:val="auto"/>
        </w:rPr>
        <w:t>Exhibits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6360" w:type="dxa"/>
            <w:vAlign w:val="bottom"/>
            <w:gridSpan w:val="6"/>
            <w:vMerge w:val="restart"/>
          </w:tcPr>
          <w:p>
            <w:pPr>
              <w:ind w:left="10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1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3640" w:type="dxa"/>
            <w:vAlign w:val="bottom"/>
            <w:tcBorders>
              <w:bottom w:val="single" w:sz="8" w:color="auto"/>
            </w:tcBorders>
          </w:tcPr>
          <w:p>
            <w:pPr>
              <w:spacing w:after="0"/>
              <w:rPr>
                <w:sz w:val="15"/>
                <w:szCs w:val="15"/>
                <w:color w:val="auto"/>
              </w:rPr>
            </w:pPr>
          </w:p>
        </w:tc>
        <w:tc>
          <w:tcPr>
            <w:tcW w:w="6360" w:type="dxa"/>
            <w:vAlign w:val="bottom"/>
            <w:tcBorders>
              <w:bottom w:val="single" w:sz="8" w:color="auto"/>
            </w:tcBorders>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140" w:type="dxa"/>
            <w:vAlign w:val="bottom"/>
          </w:tcPr>
          <w:p>
            <w:pPr>
              <w:jc w:val="right"/>
              <w:ind w:right="817"/>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4"/>
                <w:szCs w:val="24"/>
                <w:color w:val="auto"/>
              </w:rPr>
            </w:pPr>
          </w:p>
        </w:tc>
        <w:tc>
          <w:tcPr>
            <w:tcW w:w="9880" w:type="dxa"/>
            <w:vAlign w:val="bottom"/>
            <w:tcBorders>
              <w:bottom w:val="single" w:sz="8" w:color="0563C1"/>
            </w:tcBorders>
            <w:gridSpan w:val="6"/>
          </w:tcPr>
          <w:p>
            <w:pPr>
              <w:ind w:left="20"/>
              <w:spacing w:after="0"/>
              <w:rPr>
                <w:rFonts w:ascii="Times New Roman" w:cs="Times New Roman" w:eastAsia="Times New Roman" w:hAnsi="Times New Roman"/>
                <w:sz w:val="18"/>
                <w:szCs w:val="18"/>
                <w:color w:val="0563C1"/>
              </w:rPr>
            </w:pPr>
            <w:hyperlink r:id="rId255">
              <w:r>
                <w:rPr>
                  <w:rFonts w:ascii="Times New Roman" w:cs="Times New Roman" w:eastAsia="Times New Roman" w:hAnsi="Times New Roman"/>
                  <w:sz w:val="18"/>
                  <w:szCs w:val="18"/>
                  <w:color w:val="0563C1"/>
                </w:rPr>
                <w:t>Amended and Restated Certificate of Incorporation (incorporated by reference to Exhibit 3.1 to the Registrant’s Current Report on Form</w:t>
              </w:r>
            </w:hyperlink>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0" w:type="dxa"/>
            <w:vAlign w:val="bottom"/>
            <w:tcBorders>
              <w:bottom w:val="single" w:sz="8" w:color="0563C1"/>
            </w:tcBorders>
            <w:gridSpan w:val="2"/>
          </w:tcPr>
          <w:p>
            <w:pPr>
              <w:ind w:left="20"/>
              <w:spacing w:after="0" w:line="196" w:lineRule="exact"/>
              <w:rPr>
                <w:rFonts w:ascii="Times New Roman" w:cs="Times New Roman" w:eastAsia="Times New Roman" w:hAnsi="Times New Roman"/>
                <w:sz w:val="18"/>
                <w:szCs w:val="18"/>
                <w:color w:val="0563C1"/>
                <w:w w:val="99"/>
              </w:rPr>
            </w:pPr>
            <w:hyperlink r:id="rId255">
              <w:r>
                <w:rPr>
                  <w:rFonts w:ascii="Times New Roman" w:cs="Times New Roman" w:eastAsia="Times New Roman" w:hAnsi="Times New Roman"/>
                  <w:sz w:val="18"/>
                  <w:szCs w:val="18"/>
                  <w:color w:val="0563C1"/>
                  <w:w w:val="99"/>
                </w:rPr>
                <w:t>8-K (File No. 001-39980), filed with the SEC on February 11, 2021).</w:t>
              </w:r>
            </w:hyperlink>
          </w:p>
        </w:tc>
        <w:tc>
          <w:tcPr>
            <w:tcW w:w="50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40" w:type="dxa"/>
            <w:vAlign w:val="bottom"/>
          </w:tcPr>
          <w:p>
            <w:pPr>
              <w:jc w:val="right"/>
              <w:ind w:right="817"/>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24"/>
                <w:szCs w:val="24"/>
                <w:color w:val="auto"/>
              </w:rPr>
            </w:pPr>
          </w:p>
        </w:tc>
        <w:tc>
          <w:tcPr>
            <w:tcW w:w="9300" w:type="dxa"/>
            <w:vAlign w:val="bottom"/>
            <w:tcBorders>
              <w:bottom w:val="single" w:sz="8" w:color="0563C1"/>
            </w:tcBorders>
            <w:gridSpan w:val="4"/>
          </w:tcPr>
          <w:p>
            <w:pPr>
              <w:ind w:left="20"/>
              <w:spacing w:after="0"/>
              <w:rPr>
                <w:rFonts w:ascii="Times New Roman" w:cs="Times New Roman" w:eastAsia="Times New Roman" w:hAnsi="Times New Roman"/>
                <w:sz w:val="18"/>
                <w:szCs w:val="18"/>
                <w:color w:val="0563C1"/>
              </w:rPr>
            </w:pPr>
            <w:hyperlink r:id="rId256">
              <w:r>
                <w:rPr>
                  <w:rFonts w:ascii="Times New Roman" w:cs="Times New Roman" w:eastAsia="Times New Roman" w:hAnsi="Times New Roman"/>
                  <w:sz w:val="18"/>
                  <w:szCs w:val="18"/>
                  <w:color w:val="0563C1"/>
                </w:rPr>
                <w:t>Certificate of Amendment to Amended and Restated Certificate of Incorporation (incorporated by reference to Exhibit 3.1 to the</w:t>
              </w:r>
            </w:hyperlink>
          </w:p>
        </w:tc>
        <w:tc>
          <w:tcPr>
            <w:tcW w:w="7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380" w:type="dxa"/>
            <w:vAlign w:val="bottom"/>
            <w:tcBorders>
              <w:bottom w:val="single" w:sz="8" w:color="0563C1"/>
            </w:tcBorders>
            <w:gridSpan w:val="3"/>
          </w:tcPr>
          <w:p>
            <w:pPr>
              <w:ind w:left="20"/>
              <w:spacing w:after="0" w:line="196" w:lineRule="exact"/>
              <w:rPr>
                <w:rFonts w:ascii="Times New Roman" w:cs="Times New Roman" w:eastAsia="Times New Roman" w:hAnsi="Times New Roman"/>
                <w:sz w:val="18"/>
                <w:szCs w:val="18"/>
                <w:color w:val="0563C1"/>
                <w:w w:val="99"/>
              </w:rPr>
            </w:pPr>
            <w:hyperlink r:id="rId256">
              <w:r>
                <w:rPr>
                  <w:rFonts w:ascii="Times New Roman" w:cs="Times New Roman" w:eastAsia="Times New Roman" w:hAnsi="Times New Roman"/>
                  <w:sz w:val="18"/>
                  <w:szCs w:val="18"/>
                  <w:color w:val="0563C1"/>
                  <w:w w:val="99"/>
                </w:rPr>
                <w:t>Registrant’s Current Report on Form 8-K (File No. 001-39980), filed with the SEC on June 13, 2025).</w:t>
              </w:r>
            </w:hyperlink>
          </w:p>
        </w:tc>
        <w:tc>
          <w:tcPr>
            <w:tcW w:w="26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40" w:type="dxa"/>
            <w:vAlign w:val="bottom"/>
          </w:tcPr>
          <w:p>
            <w:pPr>
              <w:jc w:val="right"/>
              <w:ind w:right="817"/>
              <w:spacing w:after="0"/>
              <w:rPr>
                <w:sz w:val="20"/>
                <w:szCs w:val="20"/>
                <w:color w:val="auto"/>
              </w:rPr>
            </w:pPr>
            <w:r>
              <w:rPr>
                <w:rFonts w:ascii="Times New Roman" w:cs="Times New Roman" w:eastAsia="Times New Roman" w:hAnsi="Times New Roman"/>
                <w:sz w:val="18"/>
                <w:szCs w:val="18"/>
                <w:color w:val="auto"/>
                <w:w w:val="97"/>
              </w:rPr>
              <w:t>3.3</w:t>
            </w:r>
          </w:p>
        </w:tc>
        <w:tc>
          <w:tcPr>
            <w:tcW w:w="100" w:type="dxa"/>
            <w:vAlign w:val="bottom"/>
          </w:tcPr>
          <w:p>
            <w:pPr>
              <w:spacing w:after="0"/>
              <w:rPr>
                <w:sz w:val="24"/>
                <w:szCs w:val="24"/>
                <w:color w:val="auto"/>
              </w:rPr>
            </w:pPr>
          </w:p>
        </w:tc>
        <w:tc>
          <w:tcPr>
            <w:tcW w:w="9800" w:type="dxa"/>
            <w:vAlign w:val="bottom"/>
            <w:tcBorders>
              <w:bottom w:val="single" w:sz="8" w:color="0563C1"/>
            </w:tcBorders>
            <w:gridSpan w:val="5"/>
          </w:tcPr>
          <w:p>
            <w:pPr>
              <w:ind w:left="20"/>
              <w:spacing w:after="0"/>
              <w:rPr>
                <w:rFonts w:ascii="Times New Roman" w:cs="Times New Roman" w:eastAsia="Times New Roman" w:hAnsi="Times New Roman"/>
                <w:sz w:val="18"/>
                <w:szCs w:val="18"/>
                <w:color w:val="0563C1"/>
                <w:w w:val="99"/>
              </w:rPr>
            </w:pPr>
            <w:hyperlink r:id="rId257">
              <w:r>
                <w:rPr>
                  <w:rFonts w:ascii="Times New Roman" w:cs="Times New Roman" w:eastAsia="Times New Roman" w:hAnsi="Times New Roman"/>
                  <w:sz w:val="18"/>
                  <w:szCs w:val="18"/>
                  <w:color w:val="0563C1"/>
                  <w:w w:val="99"/>
                </w:rPr>
                <w:t>Amended and Restated Bylaws (incorporated by reference to Exhibit 3.1 to the Registrant’s Current Report on Form 8-K (File No. 001-</w:t>
              </w:r>
            </w:hyperlink>
          </w:p>
        </w:tc>
        <w:tc>
          <w:tcPr>
            <w:tcW w:w="2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7"/>
          </w:tcPr>
          <w:p>
            <w:pPr>
              <w:ind w:left="20"/>
              <w:spacing w:after="0" w:line="196" w:lineRule="exact"/>
              <w:rPr>
                <w:rFonts w:ascii="Times New Roman" w:cs="Times New Roman" w:eastAsia="Times New Roman" w:hAnsi="Times New Roman"/>
                <w:sz w:val="18"/>
                <w:szCs w:val="18"/>
                <w:color w:val="0563C1"/>
              </w:rPr>
            </w:pPr>
            <w:hyperlink r:id="rId257">
              <w:r>
                <w:rPr>
                  <w:rFonts w:ascii="Times New Roman" w:cs="Times New Roman" w:eastAsia="Times New Roman" w:hAnsi="Times New Roman"/>
                  <w:sz w:val="18"/>
                  <w:szCs w:val="18"/>
                  <w:color w:val="0563C1"/>
                </w:rPr>
                <w:t>39980)</w:t>
              </w:r>
              <w:r>
                <w:rPr>
                  <w:rFonts w:ascii="Times New Roman" w:cs="Times New Roman" w:eastAsia="Times New Roman" w:hAnsi="Times New Roman"/>
                  <w:sz w:val="18"/>
                  <w:szCs w:val="18"/>
                  <w:u w:val="single" w:color="auto"/>
                  <w:color w:val="0563C1"/>
                </w:rPr>
                <w:t>,</w:t>
              </w:r>
              <w:r>
                <w:rPr>
                  <w:rFonts w:ascii="Times New Roman" w:cs="Times New Roman" w:eastAsia="Times New Roman" w:hAnsi="Times New Roman"/>
                  <w:sz w:val="18"/>
                  <w:szCs w:val="18"/>
                  <w:color w:val="0563C1"/>
                </w:rPr>
                <w:t xml:space="preserve"> filed with the SEC on December 9, 2022).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40" w:type="dxa"/>
            <w:vAlign w:val="bottom"/>
            <w:shd w:val="clear" w:color="auto" w:fill="0563C1"/>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sectPr>
          <w:pgSz w:w="11900" w:h="16838" w:orient="portrait"/>
          <w:cols w:equalWidth="0" w:num="1">
            <w:col w:w="11240"/>
          </w:cols>
          <w:pgMar w:left="320" w:top="1305"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3.4</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31.1*</w:t>
      </w:r>
    </w:p>
    <w:p>
      <w:pPr>
        <w:spacing w:after="0" w:line="20" w:lineRule="exact"/>
        <w:rPr>
          <w:sz w:val="20"/>
          <w:szCs w:val="20"/>
          <w:color w:val="auto"/>
        </w:rPr>
      </w:pPr>
      <w:r>
        <w:rPr>
          <w:sz w:val="20"/>
          <w:szCs w:val="20"/>
          <w:color w:val="auto"/>
        </w:rPr>
        <w:br w:type="column"/>
      </w:r>
    </w:p>
    <w:p>
      <w:pPr>
        <w:ind w:right="160"/>
        <w:spacing w:after="0" w:line="257" w:lineRule="auto"/>
        <w:rPr>
          <w:rFonts w:ascii="Times New Roman" w:cs="Times New Roman" w:eastAsia="Times New Roman" w:hAnsi="Times New Roman"/>
          <w:sz w:val="18"/>
          <w:szCs w:val="18"/>
          <w:u w:val="single" w:color="auto"/>
          <w:color w:val="0563C1"/>
        </w:rPr>
      </w:pPr>
      <w:hyperlink r:id="rId258">
        <w:r>
          <w:rPr>
            <w:rFonts w:ascii="Times New Roman" w:cs="Times New Roman" w:eastAsia="Times New Roman" w:hAnsi="Times New Roman"/>
            <w:sz w:val="18"/>
            <w:szCs w:val="18"/>
            <w:u w:val="single" w:color="auto"/>
            <w:color w:val="0563C1"/>
          </w:rPr>
          <w:t>Certificate of Designations of the Series A Junior Participating Cumulative Preferred Stock of the Registrant, dated March 7, 2023</w:t>
        </w:r>
      </w:hyperlink>
      <w:r>
        <w:rPr>
          <w:rFonts w:ascii="Times New Roman" w:cs="Times New Roman" w:eastAsia="Times New Roman" w:hAnsi="Times New Roman"/>
          <w:sz w:val="18"/>
          <w:szCs w:val="18"/>
          <w:u w:val="single" w:color="auto"/>
          <w:color w:val="0563C1"/>
        </w:rPr>
        <w:t xml:space="preserve"> </w:t>
      </w:r>
      <w:hyperlink r:id="rId258">
        <w:r>
          <w:rPr>
            <w:rFonts w:ascii="Times New Roman" w:cs="Times New Roman" w:eastAsia="Times New Roman" w:hAnsi="Times New Roman"/>
            <w:sz w:val="18"/>
            <w:szCs w:val="18"/>
            <w:u w:val="single" w:color="auto"/>
            <w:color w:val="0563C1"/>
          </w:rPr>
          <w:t>(incorporated by reference to Exhibit 3.1 to the Registrant’s Registration Statement on Form 8-A, filed with the Securities and Exchange</w:t>
        </w:r>
      </w:hyperlink>
      <w:r>
        <w:rPr>
          <w:rFonts w:ascii="Times New Roman" w:cs="Times New Roman" w:eastAsia="Times New Roman" w:hAnsi="Times New Roman"/>
          <w:sz w:val="18"/>
          <w:szCs w:val="18"/>
          <w:u w:val="single" w:color="auto"/>
          <w:color w:val="0563C1"/>
        </w:rPr>
        <w:t xml:space="preserve"> </w:t>
      </w:r>
      <w:hyperlink r:id="rId258">
        <w:r>
          <w:rPr>
            <w:rFonts w:ascii="Times New Roman" w:cs="Times New Roman" w:eastAsia="Times New Roman" w:hAnsi="Times New Roman"/>
            <w:sz w:val="18"/>
            <w:szCs w:val="18"/>
            <w:u w:val="single" w:color="auto"/>
            <w:color w:val="0563C1"/>
          </w:rPr>
          <w:t>Commission on March 7, 2023, File No. 005-92222)</w:t>
        </w:r>
      </w:hyperlink>
    </w:p>
    <w:p>
      <w:pPr>
        <w:spacing w:after="0" w:line="20" w:lineRule="exact"/>
        <w:rPr>
          <w:rFonts w:ascii="Times New Roman" w:cs="Times New Roman" w:eastAsia="Times New Roman" w:hAnsi="Times New Roman"/>
          <w:sz w:val="18"/>
          <w:szCs w:val="18"/>
          <w:u w:val="single" w:color="auto"/>
          <w:color w:val="0563C1"/>
        </w:rPr>
      </w:pPr>
      <w:r>
        <w:rPr>
          <w:rFonts w:ascii="Times New Roman" w:cs="Times New Roman" w:eastAsia="Times New Roman" w:hAnsi="Times New Roman"/>
          <w:sz w:val="18"/>
          <w:szCs w:val="18"/>
          <w:u w:val="single" w:color="auto"/>
          <w:color w:val="0563C1"/>
        </w:rPr>
        <w:drawing>
          <wp:anchor simplePos="0" relativeHeight="251657728" behindDoc="1" locked="0" layoutInCell="0" allowOverlap="1">
            <wp:simplePos x="0" y="0"/>
            <wp:positionH relativeFrom="column">
              <wp:posOffset>-5715</wp:posOffset>
            </wp:positionH>
            <wp:positionV relativeFrom="paragraph">
              <wp:posOffset>-298450</wp:posOffset>
            </wp:positionV>
            <wp:extent cx="599376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9">
                      <a:extLst>
                        <a:ext uri="{28A0092B-C50C-407E-A947-70E740481C1C}"/>
                      </a:extLst>
                    </a:blip>
                    <a:srcRect/>
                    <a:stretch>
                      <a:fillRect/>
                    </a:stretch>
                  </pic:blipFill>
                  <pic:spPr bwMode="auto">
                    <a:xfrm>
                      <a:off x="0" y="0"/>
                      <a:ext cx="599376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-161290</wp:posOffset>
            </wp:positionV>
            <wp:extent cx="627570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0">
                      <a:extLst>
                        <a:ext uri="{28A0092B-C50C-407E-A947-70E740481C1C}"/>
                      </a:extLst>
                    </a:blip>
                    <a:srcRect/>
                    <a:stretch>
                      <a:fillRect/>
                    </a:stretch>
                  </pic:blipFill>
                  <pic:spPr bwMode="auto">
                    <a:xfrm>
                      <a:off x="0" y="0"/>
                      <a:ext cx="627570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-24130</wp:posOffset>
            </wp:positionV>
            <wp:extent cx="241173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1">
                      <a:extLst>
                        <a:ext uri="{28A0092B-C50C-407E-A947-70E740481C1C}"/>
                      </a:extLst>
                    </a:blip>
                    <a:srcRect/>
                    <a:stretch>
                      <a:fillRect/>
                    </a:stretch>
                  </pic:blipFill>
                  <pic:spPr bwMode="auto">
                    <a:xfrm>
                      <a:off x="0" y="0"/>
                      <a:ext cx="2411730" cy="8255"/>
                    </a:xfrm>
                    <a:prstGeom prst="rect">
                      <a:avLst/>
                    </a:prstGeom>
                    <a:noFill/>
                  </pic:spPr>
                </pic:pic>
              </a:graphicData>
            </a:graphic>
          </wp:anchor>
        </w:drawing>
      </w:r>
    </w:p>
    <w:p>
      <w:pPr>
        <w:ind w:right="120"/>
        <w:spacing w:after="0" w:line="250" w:lineRule="auto"/>
        <w:rPr>
          <w:rFonts w:ascii="Times New Roman" w:cs="Times New Roman" w:eastAsia="Times New Roman" w:hAnsi="Times New Roman"/>
          <w:sz w:val="18"/>
          <w:szCs w:val="18"/>
          <w:u w:val="single" w:color="auto"/>
          <w:color w:val="0563C1"/>
        </w:rPr>
      </w:pPr>
      <w:hyperlink r:id="rId262">
        <w:r>
          <w:rPr>
            <w:rFonts w:ascii="Times New Roman" w:cs="Times New Roman" w:eastAsia="Times New Roman" w:hAnsi="Times New Roman"/>
            <w:sz w:val="18"/>
            <w:szCs w:val="18"/>
            <w:u w:val="single" w:color="auto"/>
            <w:color w:val="0563C1"/>
          </w:rPr>
          <w:t>Certificate of Elimination of the Series A Junior Participating Cumulative Preferred Stock of the Registrant (incorporated by reference to</w:t>
        </w:r>
      </w:hyperlink>
      <w:r>
        <w:rPr>
          <w:rFonts w:ascii="Times New Roman" w:cs="Times New Roman" w:eastAsia="Times New Roman" w:hAnsi="Times New Roman"/>
          <w:sz w:val="18"/>
          <w:szCs w:val="18"/>
          <w:u w:val="single" w:color="auto"/>
          <w:color w:val="0563C1"/>
        </w:rPr>
        <w:t xml:space="preserve"> </w:t>
      </w:r>
      <w:hyperlink r:id="rId262">
        <w:r>
          <w:rPr>
            <w:rFonts w:ascii="Times New Roman" w:cs="Times New Roman" w:eastAsia="Times New Roman" w:hAnsi="Times New Roman"/>
            <w:sz w:val="18"/>
            <w:szCs w:val="18"/>
            <w:u w:val="single" w:color="auto"/>
            <w:color w:val="0563C1"/>
          </w:rPr>
          <w:t>Exhibit 3.4 to the Registrant’s Annual Report on Form 10-K (File No. 001-39980), filed with the SEC on March 28,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-161925</wp:posOffset>
            </wp:positionV>
            <wp:extent cx="6291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3">
                      <a:extLst>
                        <a:ext uri="{28A0092B-C50C-407E-A947-70E740481C1C}"/>
                      </a:extLst>
                    </a:blip>
                    <a:srcRect/>
                    <a:stretch>
                      <a:fillRect/>
                    </a:stretch>
                  </pic:blipFill>
                  <pic:spPr bwMode="auto">
                    <a:xfrm>
                      <a:off x="0" y="0"/>
                      <a:ext cx="629158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-24765</wp:posOffset>
            </wp:positionV>
            <wp:extent cx="563245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4">
                      <a:extLst>
                        <a:ext uri="{28A0092B-C50C-407E-A947-70E740481C1C}"/>
                      </a:extLst>
                    </a:blip>
                    <a:srcRect/>
                    <a:stretch>
                      <a:fillRect/>
                    </a:stretch>
                  </pic:blipFill>
                  <pic:spPr bwMode="auto">
                    <a:xfrm>
                      <a:off x="0" y="0"/>
                      <a:ext cx="5632450" cy="8890"/>
                    </a:xfrm>
                    <a:prstGeom prst="rect">
                      <a:avLst/>
                    </a:prstGeom>
                    <a:noFill/>
                  </pic:spPr>
                </pic:pic>
              </a:graphicData>
            </a:graphic>
          </wp:anchor>
        </w:drawing>
      </w:r>
    </w:p>
    <w:p>
      <w:pPr>
        <w:ind w:right="860"/>
        <w:spacing w:after="0" w:line="260" w:lineRule="auto"/>
        <w:rPr>
          <w:rFonts w:ascii="Times New Roman" w:cs="Times New Roman" w:eastAsia="Times New Roman" w:hAnsi="Times New Roman"/>
          <w:sz w:val="18"/>
          <w:szCs w:val="18"/>
          <w:u w:val="single" w:color="auto"/>
          <w:color w:val="0563C1"/>
        </w:rPr>
      </w:pPr>
      <w:hyperlink r:id="rId265">
        <w:r>
          <w:rPr>
            <w:rFonts w:ascii="Times New Roman" w:cs="Times New Roman" w:eastAsia="Times New Roman" w:hAnsi="Times New Roman"/>
            <w:sz w:val="18"/>
            <w:szCs w:val="18"/>
            <w:u w:val="single" w:color="auto"/>
            <w:color w:val="0563C1"/>
          </w:rPr>
          <w:t>Certificate of Designation of Series B Non-Voting Convertible Preferred Stock (incorporated by reference to Exhibit 3.1 to the</w:t>
        </w:r>
      </w:hyperlink>
      <w:r>
        <w:rPr>
          <w:rFonts w:ascii="Times New Roman" w:cs="Times New Roman" w:eastAsia="Times New Roman" w:hAnsi="Times New Roman"/>
          <w:sz w:val="18"/>
          <w:szCs w:val="18"/>
          <w:u w:val="single" w:color="auto"/>
          <w:color w:val="0563C1"/>
        </w:rPr>
        <w:t xml:space="preserve"> </w:t>
      </w:r>
      <w:hyperlink r:id="rId265">
        <w:r>
          <w:rPr>
            <w:rFonts w:ascii="Times New Roman" w:cs="Times New Roman" w:eastAsia="Times New Roman" w:hAnsi="Times New Roman"/>
            <w:sz w:val="18"/>
            <w:szCs w:val="18"/>
            <w:u w:val="single" w:color="auto"/>
            <w:color w:val="0563C1"/>
          </w:rPr>
          <w:t>Registrant’s Current Report on Form 8-K (File No. 001-39980), filed with the SEC on February 18, 2026).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582231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6">
                      <a:extLst>
                        <a:ext uri="{28A0092B-C50C-407E-A947-70E740481C1C}"/>
                      </a:extLst>
                    </a:blip>
                    <a:srcRect/>
                    <a:stretch>
                      <a:fillRect/>
                    </a:stretch>
                  </pic:blipFill>
                  <pic:spPr bwMode="auto">
                    <a:xfrm>
                      <a:off x="0" y="0"/>
                      <a:ext cx="58223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-35560</wp:posOffset>
            </wp:positionV>
            <wp:extent cx="488061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7">
                      <a:extLst>
                        <a:ext uri="{28A0092B-C50C-407E-A947-70E740481C1C}"/>
                      </a:extLst>
                    </a:blip>
                    <a:srcRect/>
                    <a:stretch>
                      <a:fillRect/>
                    </a:stretch>
                  </pic:blipFill>
                  <pic:spPr bwMode="auto">
                    <a:xfrm>
                      <a:off x="0" y="0"/>
                      <a:ext cx="4880610" cy="825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563C1"/>
        </w:rPr>
        <w:t>Sensei Biotherapeutics, Inc. Severance and Change in Control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-7620</wp:posOffset>
            </wp:positionV>
            <wp:extent cx="310007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8">
                      <a:extLst>
                        <a:ext uri="{28A0092B-C50C-407E-A947-70E740481C1C}"/>
                      </a:extLst>
                    </a:blip>
                    <a:srcRect/>
                    <a:stretch>
                      <a:fillRect/>
                    </a:stretch>
                  </pic:blipFill>
                  <pic:spPr bwMode="auto">
                    <a:xfrm>
                      <a:off x="0" y="0"/>
                      <a:ext cx="310007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563C1"/>
        </w:rPr>
        <w:t>Sensei Biotherapeutics, Inc. Amended and Restated Non-Employee Director Compensation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-7620</wp:posOffset>
            </wp:positionV>
            <wp:extent cx="453707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9">
                      <a:extLst>
                        <a:ext uri="{28A0092B-C50C-407E-A947-70E740481C1C}"/>
                      </a:extLst>
                    </a:blip>
                    <a:srcRect/>
                    <a:stretch>
                      <a:fillRect/>
                    </a:stretch>
                  </pic:blipFill>
                  <pic:spPr bwMode="auto">
                    <a:xfrm>
                      <a:off x="0" y="0"/>
                      <a:ext cx="4537075" cy="8890"/>
                    </a:xfrm>
                    <a:prstGeom prst="rect">
                      <a:avLst/>
                    </a:prstGeom>
                    <a:noFill/>
                  </pic:spPr>
                </pic:pic>
              </a:graphicData>
            </a:graphic>
          </wp:anchor>
        </w:drawing>
      </w:r>
    </w:p>
    <w:p>
      <w:pPr>
        <w:spacing w:after="0" w:line="9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u w:val="single" w:color="auto"/>
          <w:color w:val="0563C1"/>
        </w:rPr>
        <w:t>Certification of Principal Executive Officer Pursuant to Rules 13a-14(a) and 15d-14(a) under the Securities Exchange Act of 1934,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-185420</wp:posOffset>
            </wp:positionV>
            <wp:extent cx="613600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0">
                      <a:extLst>
                        <a:ext uri="{28A0092B-C50C-407E-A947-70E740481C1C}"/>
                      </a:extLst>
                    </a:blip>
                    <a:srcRect/>
                    <a:stretch>
                      <a:fillRect/>
                    </a:stretch>
                  </pic:blipFill>
                  <pic:spPr bwMode="auto">
                    <a:xfrm>
                      <a:off x="0" y="0"/>
                      <a:ext cx="613600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-48260</wp:posOffset>
            </wp:positionV>
            <wp:extent cx="316357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1">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40" w:lineRule="exact"/>
        <w:rPr>
          <w:sz w:val="20"/>
          <w:szCs w:val="20"/>
          <w:color w:val="auto"/>
        </w:rPr>
      </w:pPr>
    </w:p>
    <w:p>
      <w:pPr>
        <w:sectPr>
          <w:pgSz w:w="11900" w:h="16838" w:orient="portrait"/>
          <w:cols w:equalWidth="0" w:num="2">
            <w:col w:w="540" w:space="720"/>
            <w:col w:w="9980"/>
          </w:cols>
          <w:pgMar w:left="320" w:top="1305"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2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8"/>
              </w:rPr>
              <w:t>31.2*</w:t>
            </w:r>
          </w:p>
        </w:tc>
        <w:tc>
          <w:tcPr>
            <w:tcW w:w="9620" w:type="dxa"/>
            <w:vAlign w:val="bottom"/>
            <w:tcBorders>
              <w:bottom w:val="single" w:sz="8" w:color="0563C1"/>
            </w:tcBorders>
            <w:gridSpan w:val="2"/>
          </w:tcPr>
          <w:p>
            <w:pPr>
              <w:ind w:left="20"/>
              <w:spacing w:after="0"/>
              <w:rPr>
                <w:sz w:val="20"/>
                <w:szCs w:val="20"/>
                <w:color w:val="auto"/>
              </w:rPr>
            </w:pPr>
            <w:r>
              <w:rPr>
                <w:rFonts w:ascii="Times New Roman" w:cs="Times New Roman" w:eastAsia="Times New Roman" w:hAnsi="Times New Roman"/>
                <w:sz w:val="18"/>
                <w:szCs w:val="18"/>
                <w:color w:val="0563C1"/>
              </w:rPr>
              <w:t>Certification of Principal Financial Officer Pursuant to Rules 13a-14(a) and 15d-14(a) under the Securities Exchange Act of 1934, as</w:t>
            </w:r>
          </w:p>
        </w:tc>
      </w:tr>
      <w:tr>
        <w:trPr>
          <w:trHeight w:val="196"/>
        </w:trPr>
        <w:tc>
          <w:tcPr>
            <w:tcW w:w="1240" w:type="dxa"/>
            <w:vAlign w:val="bottom"/>
          </w:tcPr>
          <w:p>
            <w:pPr>
              <w:spacing w:after="0"/>
              <w:rPr>
                <w:sz w:val="17"/>
                <w:szCs w:val="17"/>
                <w:color w:val="auto"/>
              </w:rPr>
            </w:pPr>
          </w:p>
        </w:tc>
        <w:tc>
          <w:tcPr>
            <w:tcW w:w="5000" w:type="dxa"/>
            <w:vAlign w:val="bottom"/>
            <w:tcBorders>
              <w:bottom w:val="single" w:sz="8" w:color="0563C1"/>
            </w:tcBorders>
          </w:tcPr>
          <w:p>
            <w:pPr>
              <w:ind w:left="20"/>
              <w:spacing w:after="0" w:line="196" w:lineRule="exact"/>
              <w:rPr>
                <w:sz w:val="20"/>
                <w:szCs w:val="20"/>
                <w:color w:val="auto"/>
              </w:rPr>
            </w:pPr>
            <w:r>
              <w:rPr>
                <w:rFonts w:ascii="Times New Roman" w:cs="Times New Roman" w:eastAsia="Times New Roman" w:hAnsi="Times New Roman"/>
                <w:sz w:val="18"/>
                <w:szCs w:val="18"/>
                <w:color w:val="0563C1"/>
                <w:w w:val="99"/>
              </w:rPr>
              <w:t>Adopted Pursuant to Section 302 of the Sarbanes-Oxley Act of 2002.</w:t>
            </w:r>
          </w:p>
        </w:tc>
        <w:tc>
          <w:tcPr>
            <w:tcW w:w="4620" w:type="dxa"/>
            <w:vAlign w:val="bottom"/>
          </w:tcPr>
          <w:p>
            <w:pPr>
              <w:spacing w:after="0"/>
              <w:rPr>
                <w:sz w:val="17"/>
                <w:szCs w:val="17"/>
                <w:color w:val="auto"/>
              </w:rPr>
            </w:pPr>
          </w:p>
        </w:tc>
      </w:tr>
    </w:tbl>
    <w:p>
      <w:pPr>
        <w:spacing w:after="0" w:line="117" w:lineRule="exact"/>
        <w:rPr>
          <w:sz w:val="20"/>
          <w:szCs w:val="20"/>
          <w:color w:val="auto"/>
        </w:rPr>
      </w:pPr>
    </w:p>
    <w:p>
      <w:pPr>
        <w:sectPr>
          <w:pgSz w:w="11900" w:h="16838" w:orient="portrait"/>
          <w:cols w:equalWidth="0" w:num="1">
            <w:col w:w="11240"/>
          </w:cols>
          <w:pgMar w:left="320" w:top="1305"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32.1**</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101.INS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101.SCH</w:t>
      </w:r>
    </w:p>
    <w:p>
      <w:pPr>
        <w:spacing w:after="0" w:line="20" w:lineRule="exact"/>
        <w:rPr>
          <w:sz w:val="20"/>
          <w:szCs w:val="20"/>
          <w:color w:val="auto"/>
        </w:rPr>
      </w:pPr>
      <w:r>
        <w:rPr>
          <w:sz w:val="20"/>
          <w:szCs w:val="20"/>
          <w:color w:val="auto"/>
        </w:rPr>
        <w:br w:type="column"/>
      </w:r>
    </w:p>
    <w:p>
      <w:pPr>
        <w:ind w:right="220"/>
        <w:spacing w:after="0" w:line="261" w:lineRule="auto"/>
        <w:rPr>
          <w:sz w:val="20"/>
          <w:szCs w:val="20"/>
          <w:color w:val="auto"/>
        </w:rPr>
      </w:pPr>
      <w:r>
        <w:rPr>
          <w:rFonts w:ascii="Times New Roman" w:cs="Times New Roman" w:eastAsia="Times New Roman" w:hAnsi="Times New Roman"/>
          <w:sz w:val="18"/>
          <w:szCs w:val="18"/>
          <w:u w:val="single" w:color="auto"/>
          <w:color w:val="0563C1"/>
        </w:rPr>
        <w:t>Certification of Principal Executive Officer and Principal Financial Officer Pursuant to 18 U.S.C. Section 1350, as Adopted Pursuant to Section 906 of the Sarbanes-Oxley Act of 2002</w:t>
      </w:r>
      <w:r>
        <w:rPr>
          <w:rFonts w:ascii="Times New Roman" w:cs="Times New Roman" w:eastAsia="Times New Roman" w:hAnsi="Times New Roman"/>
          <w:sz w:val="18"/>
          <w:szCs w:val="18"/>
          <w:color w:val="0563C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-161925</wp:posOffset>
            </wp:positionV>
            <wp:extent cx="623506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2">
                      <a:extLst>
                        <a:ext uri="{28A0092B-C50C-407E-A947-70E740481C1C}"/>
                      </a:extLst>
                    </a:blip>
                    <a:srcRect/>
                    <a:stretch>
                      <a:fillRect/>
                    </a:stretch>
                  </pic:blipFill>
                  <pic:spPr bwMode="auto">
                    <a:xfrm>
                      <a:off x="0" y="0"/>
                      <a:ext cx="623506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-24765</wp:posOffset>
            </wp:positionV>
            <wp:extent cx="216725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3">
                      <a:extLst>
                        <a:ext uri="{28A0092B-C50C-407E-A947-70E740481C1C}"/>
                      </a:extLst>
                    </a:blip>
                    <a:srcRect/>
                    <a:stretch>
                      <a:fillRect/>
                    </a:stretch>
                  </pic:blipFill>
                  <pic:spPr bwMode="auto">
                    <a:xfrm>
                      <a:off x="0" y="0"/>
                      <a:ext cx="2167255" cy="8255"/>
                    </a:xfrm>
                    <a:prstGeom prst="rect">
                      <a:avLst/>
                    </a:prstGeom>
                    <a:noFill/>
                  </pic:spPr>
                </pic:pic>
              </a:graphicData>
            </a:graphic>
          </wp:anchor>
        </w:drawing>
      </w:r>
    </w:p>
    <w:p>
      <w:pPr>
        <w:ind w:right="480"/>
        <w:spacing w:after="0" w:line="260" w:lineRule="auto"/>
        <w:rPr>
          <w:sz w:val="20"/>
          <w:szCs w:val="20"/>
          <w:color w:val="auto"/>
        </w:rPr>
      </w:pPr>
      <w:r>
        <w:rPr>
          <w:rFonts w:ascii="Times New Roman" w:cs="Times New Roman" w:eastAsia="Times New Roman" w:hAnsi="Times New Roman"/>
          <w:sz w:val="18"/>
          <w:szCs w:val="18"/>
          <w:color w:val="auto"/>
        </w:rPr>
        <w:t>XBRL Instance Document (the instance document does not appear in the Interactive Data File because its XBRL tags are embedded within the Inline XBRL document).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p>
      <w:pPr>
        <w:spacing w:after="0" w:line="117" w:lineRule="exact"/>
        <w:rPr>
          <w:sz w:val="20"/>
          <w:szCs w:val="20"/>
          <w:color w:val="auto"/>
        </w:rPr>
      </w:pPr>
    </w:p>
    <w:p>
      <w:pPr>
        <w:sectPr>
          <w:pgSz w:w="11900" w:h="16838" w:orient="portrait"/>
          <w:cols w:equalWidth="0" w:num="2">
            <w:col w:w="680" w:space="580"/>
            <w:col w:w="9980"/>
          </w:cols>
          <w:pgMar w:left="320" w:top="1305" w:right="339" w:bottom="1440" w:gutter="0" w:footer="0" w:header="0"/>
          <w:type w:val="continuous"/>
        </w:sectPr>
      </w:pPr>
    </w:p>
    <w:p>
      <w:pPr>
        <w:ind w:right="4220" w:firstLine="8"/>
        <w:spacing w:after="0" w:line="347" w:lineRule="auto"/>
        <w:tabs>
          <w:tab w:leader="none" w:pos="1242"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Filed herewith.</w:t>
      </w:r>
    </w:p>
    <w:p>
      <w:pPr>
        <w:ind w:left="520" w:right="20" w:hanging="512"/>
        <w:spacing w:after="0" w:line="255" w:lineRule="auto"/>
        <w:tabs>
          <w:tab w:leader="none" w:pos="37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being furnished solely to accompany this quarterly report on Form 10-Q pursuant to 18 U.S.C. Section 1350, and is not being filed for purposes of Section 18 of the Securities Exchange Act of 1934, as amended, and is not to be incorporated by reference into any filing of the Registrant,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-563880</wp:posOffset>
            </wp:positionV>
            <wp:extent cx="95123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type w:val="continuous"/>
        </w:sectPr>
      </w:pPr>
    </w:p>
    <w:bookmarkStart w:id="81" w:name="page82"/>
    <w:bookmarkEnd w:id="81"/>
    <w:p>
      <w:pPr>
        <w:ind w:left="460" w:hanging="452"/>
        <w:spacing w:after="0"/>
        <w:tabs>
          <w:tab w:leader="none" w:pos="4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200" w:lineRule="exact"/>
        <w:rPr>
          <w:sz w:val="20"/>
          <w:szCs w:val="20"/>
          <w:color w:val="auto"/>
        </w:rPr>
      </w:pPr>
    </w:p>
    <w:p>
      <w:pPr>
        <w:spacing w:after="0" w:line="241"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85" w:right="1440"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762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Sensei Biotherapeutics, Inc.</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May 15, 2026</w:t>
            </w:r>
          </w:p>
        </w:tc>
        <w:tc>
          <w:tcPr>
            <w:tcW w:w="246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Christopher W. Gerry</w:t>
            </w:r>
          </w:p>
        </w:tc>
      </w:tr>
      <w:tr>
        <w:trPr>
          <w:trHeight w:val="187"/>
        </w:trPr>
        <w:tc>
          <w:tcPr>
            <w:tcW w:w="4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1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Christopher W. Gerry</w:t>
            </w:r>
          </w:p>
        </w:tc>
      </w:tr>
      <w:tr>
        <w:trPr>
          <w:trHeight w:val="216"/>
        </w:trPr>
        <w:tc>
          <w:tcPr>
            <w:tcW w:w="4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President and General Counsel</w:t>
            </w:r>
          </w:p>
        </w:tc>
      </w:tr>
      <w:tr>
        <w:trPr>
          <w:trHeight w:val="238"/>
        </w:trPr>
        <w:tc>
          <w:tcPr>
            <w:tcW w:w="4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Executive Officer</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May 15, 2026</w:t>
            </w:r>
          </w:p>
        </w:tc>
        <w:tc>
          <w:tcPr>
            <w:tcW w:w="246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Josiah Craver</w:t>
            </w:r>
          </w:p>
        </w:tc>
      </w:tr>
      <w:tr>
        <w:trPr>
          <w:trHeight w:val="187"/>
        </w:trPr>
        <w:tc>
          <w:tcPr>
            <w:tcW w:w="4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1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Josiah Craver</w:t>
            </w:r>
          </w:p>
        </w:tc>
      </w:tr>
      <w:tr>
        <w:trPr>
          <w:trHeight w:val="238"/>
        </w:trPr>
        <w:tc>
          <w:tcPr>
            <w:tcW w:w="4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Senior Vice President of Finance</w:t>
            </w:r>
          </w:p>
        </w:tc>
      </w:tr>
    </w:tbl>
    <w:p>
      <w:pPr>
        <w:ind w:left="700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SENSEI BIOTHERAPEUTICS, INC.</w:t>
      </w:r>
    </w:p>
    <w:p>
      <w:pPr>
        <w:spacing w:after="0" w:line="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SEVERANCE PLAN</w:t>
      </w:r>
    </w:p>
    <w:p>
      <w:pPr>
        <w:jc w:val="center"/>
        <w:spacing w:after="0"/>
        <w:rPr>
          <w:sz w:val="20"/>
          <w:szCs w:val="20"/>
          <w:color w:val="auto"/>
        </w:rPr>
      </w:pPr>
      <w:r>
        <w:rPr>
          <w:rFonts w:ascii="Times New Roman" w:cs="Times New Roman" w:eastAsia="Times New Roman" w:hAnsi="Times New Roman"/>
          <w:sz w:val="20"/>
          <w:szCs w:val="20"/>
          <w:b w:val="1"/>
          <w:bCs w:val="1"/>
          <w:color w:val="auto"/>
        </w:rPr>
        <w:t>AND</w:t>
      </w:r>
    </w:p>
    <w:p>
      <w:pPr>
        <w:jc w:val="center"/>
        <w:spacing w:after="0"/>
        <w:rPr>
          <w:sz w:val="20"/>
          <w:szCs w:val="20"/>
          <w:color w:val="auto"/>
        </w:rPr>
      </w:pPr>
      <w:r>
        <w:rPr>
          <w:rFonts w:ascii="Times New Roman" w:cs="Times New Roman" w:eastAsia="Times New Roman" w:hAnsi="Times New Roman"/>
          <w:sz w:val="20"/>
          <w:szCs w:val="20"/>
          <w:b w:val="1"/>
          <w:bCs w:val="1"/>
          <w:color w:val="auto"/>
        </w:rPr>
        <w:t>SUMMARY PLAN DESCRIPTION</w:t>
      </w:r>
    </w:p>
    <w:p>
      <w:pPr>
        <w:spacing w:after="0" w:line="20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APPROVED BY THE BOARD OF DIRECTORS: APRIL 10, 2026</w:t>
      </w:r>
    </w:p>
    <w:p>
      <w:pPr>
        <w:spacing w:after="0" w:line="220" w:lineRule="exact"/>
        <w:rPr>
          <w:sz w:val="20"/>
          <w:szCs w:val="20"/>
          <w:color w:val="auto"/>
        </w:rPr>
      </w:pPr>
    </w:p>
    <w:p>
      <w:pPr>
        <w:ind w:right="60" w:firstLine="757"/>
        <w:spacing w:after="0" w:line="243" w:lineRule="auto"/>
        <w:tabs>
          <w:tab w:leader="none" w:pos="1018"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Introduction</w:t>
      </w:r>
      <w:r>
        <w:rPr>
          <w:rFonts w:ascii="Times New Roman" w:cs="Times New Roman" w:eastAsia="Times New Roman" w:hAnsi="Times New Roman"/>
          <w:sz w:val="20"/>
          <w:szCs w:val="20"/>
          <w:color w:val="auto"/>
        </w:rPr>
        <w:t>. The purpose of this Sensei Biotherapeutics, Inc. Severance Plan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is to provide specified severance benefits to eligible employees of the Company (as defined below) whose employment is terminated by the Company or a successor under certain circumstances. This Plan is an “employee welfare benefit plan,” as defined in Section 3(1) of ERISA (as defined below). This Plan shall supersede any individual agreement between the Company and any Covered Employee (as defined below) and any other plan, policy or practice, whether written or unwritten, maintained by the Company with respect to a Covered Employee, in each case to the extent that such agreement, plan, policy or practice provides for equity acceleration or severance benefits upon the Covered Employee’s separation from the Company. This document constitutes both the written instrument under which the Plan is maintained and the required summary plan description for the Plan.</w:t>
      </w:r>
    </w:p>
    <w:p>
      <w:pPr>
        <w:spacing w:after="0" w:line="189"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For purposes of the Plan, the terms below are defined as follows:</w:t>
      </w:r>
    </w:p>
    <w:p>
      <w:pPr>
        <w:spacing w:after="0" w:line="216" w:lineRule="exact"/>
        <w:rPr>
          <w:sz w:val="20"/>
          <w:szCs w:val="20"/>
          <w:color w:val="auto"/>
        </w:rPr>
      </w:pPr>
    </w:p>
    <w:p>
      <w:pPr>
        <w:ind w:right="60" w:firstLine="1497"/>
        <w:spacing w:after="0" w:line="254" w:lineRule="auto"/>
        <w:rPr>
          <w:sz w:val="20"/>
          <w:szCs w:val="20"/>
          <w:color w:val="auto"/>
        </w:rPr>
      </w:pPr>
      <w:r>
        <w:rPr>
          <w:rFonts w:ascii="Times New Roman" w:cs="Times New Roman" w:eastAsia="Times New Roman" w:hAnsi="Times New Roman"/>
          <w:sz w:val="20"/>
          <w:szCs w:val="20"/>
          <w:color w:val="auto"/>
        </w:rPr>
        <w:t>2.1. “</w:t>
      </w:r>
      <w:r>
        <w:rPr>
          <w:rFonts w:ascii="Times New Roman" w:cs="Times New Roman" w:eastAsia="Times New Roman" w:hAnsi="Times New Roman"/>
          <w:sz w:val="20"/>
          <w:szCs w:val="20"/>
          <w:u w:val="single" w:color="auto"/>
          <w:color w:val="auto"/>
        </w:rPr>
        <w:t>Administrator</w:t>
      </w:r>
      <w:r>
        <w:rPr>
          <w:rFonts w:ascii="Times New Roman" w:cs="Times New Roman" w:eastAsia="Times New Roman" w:hAnsi="Times New Roman"/>
          <w:sz w:val="20"/>
          <w:szCs w:val="20"/>
          <w:color w:val="auto"/>
        </w:rPr>
        <w:t>” means the Board or Compensation Committee prior to a Change in Control (as defined below); or, after a Change in Control, one or more members of the successor Board or Compensation Committee or other persons designated by the Company’s Board or Compensation Committee prior to such Change in Control.</w:t>
      </w:r>
    </w:p>
    <w:p>
      <w:pPr>
        <w:spacing w:after="0" w:line="174"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Board</w:t>
      </w:r>
      <w:r>
        <w:rPr>
          <w:rFonts w:ascii="Times New Roman" w:cs="Times New Roman" w:eastAsia="Times New Roman" w:hAnsi="Times New Roman"/>
          <w:sz w:val="19"/>
          <w:szCs w:val="19"/>
          <w:color w:val="auto"/>
        </w:rPr>
        <w:t>” means the Board of Directors of the Company.</w:t>
      </w:r>
    </w:p>
    <w:p>
      <w:pPr>
        <w:spacing w:after="0" w:line="216" w:lineRule="exact"/>
        <w:rPr>
          <w:sz w:val="20"/>
          <w:szCs w:val="20"/>
          <w:color w:val="auto"/>
        </w:rPr>
      </w:pPr>
    </w:p>
    <w:p>
      <w:pPr>
        <w:ind w:right="20" w:firstLine="1497"/>
        <w:spacing w:after="0" w:line="259" w:lineRule="auto"/>
        <w:rPr>
          <w:sz w:val="20"/>
          <w:szCs w:val="20"/>
          <w:color w:val="auto"/>
        </w:rPr>
      </w:pPr>
      <w:r>
        <w:rPr>
          <w:rFonts w:ascii="Times New Roman" w:cs="Times New Roman" w:eastAsia="Times New Roman" w:hAnsi="Times New Roman"/>
          <w:sz w:val="19"/>
          <w:szCs w:val="19"/>
          <w:color w:val="auto"/>
        </w:rPr>
        <w:t>2.3. “</w:t>
      </w:r>
      <w:r>
        <w:rPr>
          <w:rFonts w:ascii="Times New Roman" w:cs="Times New Roman" w:eastAsia="Times New Roman" w:hAnsi="Times New Roman"/>
          <w:sz w:val="19"/>
          <w:szCs w:val="19"/>
          <w:u w:val="single" w:color="auto"/>
          <w:color w:val="auto"/>
        </w:rPr>
        <w:t>Cause</w:t>
      </w:r>
      <w:r>
        <w:rPr>
          <w:rFonts w:ascii="Times New Roman" w:cs="Times New Roman" w:eastAsia="Times New Roman" w:hAnsi="Times New Roman"/>
          <w:sz w:val="19"/>
          <w:szCs w:val="19"/>
          <w:color w:val="auto"/>
        </w:rPr>
        <w:t>” means with respect to such Covered Employees that the Company has determined in its sole discretion that the Covered Employee has engaged in any one or more of the following: (i) the Covered Employee’s conviction or indictment of, or plea of no contest to, any felony; (ii) any material act or omission of the Covered Employee constituting dishonesty, fraud, immoral, or disreputable conduct that has caused, or is reasonably likely to cause, material harm to the Company; (iii) the Covered Employee’s material violation of Company policy that has caused, or is reasonably likely to cause, material harm to the Company; (iv) the Covered Employee’s material breach of any written agreement between the Covered Employee and the Company which, if curable, remains uncured for thirty (30) days after notice; or (v) the Covered Employee’s material breach of fiduciary duty or other statutory or common law duty owed to the Company.</w:t>
      </w:r>
    </w:p>
    <w:p>
      <w:pPr>
        <w:spacing w:after="0" w:line="172"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0"/>
          <w:szCs w:val="20"/>
          <w:color w:val="auto"/>
        </w:rPr>
        <w:t>2.4.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Change in Control</w:t>
      </w:r>
      <w:r>
        <w:rPr>
          <w:rFonts w:ascii="Times New Roman" w:cs="Times New Roman" w:eastAsia="Times New Roman" w:hAnsi="Times New Roman"/>
          <w:sz w:val="19"/>
          <w:szCs w:val="19"/>
          <w:color w:val="auto"/>
        </w:rPr>
        <w:t>” has the meaning ascribed to such term in the Equity Plan.</w:t>
      </w:r>
    </w:p>
    <w:p>
      <w:pPr>
        <w:spacing w:after="0" w:line="216" w:lineRule="exact"/>
        <w:rPr>
          <w:sz w:val="20"/>
          <w:szCs w:val="20"/>
          <w:color w:val="auto"/>
        </w:rPr>
      </w:pPr>
    </w:p>
    <w:p>
      <w:pPr>
        <w:ind w:right="240" w:firstLine="1497"/>
        <w:spacing w:after="0" w:line="269" w:lineRule="auto"/>
        <w:rPr>
          <w:sz w:val="20"/>
          <w:szCs w:val="20"/>
          <w:color w:val="auto"/>
        </w:rPr>
      </w:pPr>
      <w:r>
        <w:rPr>
          <w:rFonts w:ascii="Times New Roman" w:cs="Times New Roman" w:eastAsia="Times New Roman" w:hAnsi="Times New Roman"/>
          <w:sz w:val="20"/>
          <w:szCs w:val="20"/>
          <w:color w:val="auto"/>
        </w:rPr>
        <w:t>2.5. “</w:t>
      </w:r>
      <w:r>
        <w:rPr>
          <w:rFonts w:ascii="Times New Roman" w:cs="Times New Roman" w:eastAsia="Times New Roman" w:hAnsi="Times New Roman"/>
          <w:sz w:val="20"/>
          <w:szCs w:val="20"/>
          <w:u w:val="single" w:color="auto"/>
          <w:color w:val="auto"/>
        </w:rPr>
        <w:t>Change in Control Period</w:t>
      </w:r>
      <w:r>
        <w:rPr>
          <w:rFonts w:ascii="Times New Roman" w:cs="Times New Roman" w:eastAsia="Times New Roman" w:hAnsi="Times New Roman"/>
          <w:sz w:val="20"/>
          <w:szCs w:val="20"/>
          <w:color w:val="auto"/>
        </w:rPr>
        <w:t>” means the period beginning three (3) months prior to and ending twelve (12) months following the effective date of a Change in Control.</w:t>
      </w:r>
    </w:p>
    <w:p>
      <w:pPr>
        <w:spacing w:after="0" w:line="159"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0"/>
          <w:szCs w:val="20"/>
          <w:color w:val="auto"/>
        </w:rPr>
        <w:t>2.6.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COBRA</w:t>
      </w:r>
      <w:r>
        <w:rPr>
          <w:rFonts w:ascii="Times New Roman" w:cs="Times New Roman" w:eastAsia="Times New Roman" w:hAnsi="Times New Roman"/>
          <w:sz w:val="19"/>
          <w:szCs w:val="19"/>
          <w:color w:val="auto"/>
        </w:rPr>
        <w:t>” means the Consolidated Omnibus Budget Reconciliation Act of 1985, as amended.</w:t>
      </w:r>
    </w:p>
    <w:p>
      <w:pPr>
        <w:spacing w:after="0" w:line="216"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0"/>
          <w:szCs w:val="20"/>
          <w:color w:val="auto"/>
        </w:rPr>
        <w:t>2.7.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Code</w:t>
      </w:r>
      <w:r>
        <w:rPr>
          <w:rFonts w:ascii="Times New Roman" w:cs="Times New Roman" w:eastAsia="Times New Roman" w:hAnsi="Times New Roman"/>
          <w:sz w:val="19"/>
          <w:szCs w:val="19"/>
          <w:color w:val="auto"/>
        </w:rPr>
        <w:t>” means the Internal Revenue Code of 1986, as amended, including any applicable regulations and guidance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thereunder.</w:t>
      </w:r>
    </w:p>
    <w:p>
      <w:pPr>
        <w:spacing w:after="0" w:line="194"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0"/>
          <w:szCs w:val="20"/>
          <w:color w:val="auto"/>
        </w:rPr>
        <w:t>2.8.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means Sensei Biotherapeutics, Inc. and any 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1029970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00" w:lineRule="exact"/>
        <w:rPr>
          <w:sz w:val="20"/>
          <w:szCs w:val="20"/>
          <w:color w:val="auto"/>
        </w:rPr>
      </w:pPr>
    </w:p>
    <w:p>
      <w:pPr>
        <w:spacing w:after="0" w:line="237"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0"/>
          <w:szCs w:val="20"/>
          <w:color w:val="auto"/>
        </w:rPr>
        <w:t>2.9.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Compensation Committee</w:t>
      </w:r>
      <w:r>
        <w:rPr>
          <w:rFonts w:ascii="Times New Roman" w:cs="Times New Roman" w:eastAsia="Times New Roman" w:hAnsi="Times New Roman"/>
          <w:sz w:val="19"/>
          <w:szCs w:val="19"/>
          <w:color w:val="auto"/>
        </w:rPr>
        <w:t>” means the Compensation Committee of the Board.</w:t>
      </w:r>
    </w:p>
    <w:p>
      <w:pPr>
        <w:spacing w:after="0" w:line="216" w:lineRule="exact"/>
        <w:rPr>
          <w:sz w:val="20"/>
          <w:szCs w:val="20"/>
          <w:color w:val="auto"/>
        </w:rPr>
      </w:pPr>
    </w:p>
    <w:p>
      <w:pPr>
        <w:ind w:right="400" w:firstLine="1497"/>
        <w:spacing w:after="0" w:line="269" w:lineRule="auto"/>
        <w:rPr>
          <w:sz w:val="20"/>
          <w:szCs w:val="20"/>
          <w:color w:val="auto"/>
        </w:rPr>
      </w:pPr>
      <w:r>
        <w:rPr>
          <w:rFonts w:ascii="Times New Roman" w:cs="Times New Roman" w:eastAsia="Times New Roman" w:hAnsi="Times New Roman"/>
          <w:sz w:val="20"/>
          <w:szCs w:val="20"/>
          <w:color w:val="auto"/>
        </w:rPr>
        <w:t>2.10. “</w:t>
      </w:r>
      <w:r>
        <w:rPr>
          <w:rFonts w:ascii="Times New Roman" w:cs="Times New Roman" w:eastAsia="Times New Roman" w:hAnsi="Times New Roman"/>
          <w:sz w:val="20"/>
          <w:szCs w:val="20"/>
          <w:u w:val="single" w:color="auto"/>
          <w:color w:val="auto"/>
        </w:rPr>
        <w:t>Covered Employee</w:t>
      </w:r>
      <w:r>
        <w:rPr>
          <w:rFonts w:ascii="Times New Roman" w:cs="Times New Roman" w:eastAsia="Times New Roman" w:hAnsi="Times New Roman"/>
          <w:sz w:val="20"/>
          <w:szCs w:val="20"/>
          <w:color w:val="auto"/>
        </w:rPr>
        <w:t>” means an employee of the Company who (i) has been designated by the Administrator to participate in the Plan, and (ii) has timely and properly executed and delivered a Participation Agreement to the Company.</w:t>
      </w:r>
    </w:p>
    <w:p>
      <w:pPr>
        <w:spacing w:after="0" w:line="159" w:lineRule="exact"/>
        <w:rPr>
          <w:sz w:val="20"/>
          <w:szCs w:val="20"/>
          <w:color w:val="auto"/>
        </w:rPr>
      </w:pPr>
    </w:p>
    <w:p>
      <w:pPr>
        <w:jc w:val="both"/>
        <w:ind w:right="180" w:firstLine="1497"/>
        <w:spacing w:after="0" w:line="254" w:lineRule="auto"/>
        <w:rPr>
          <w:sz w:val="20"/>
          <w:szCs w:val="20"/>
          <w:color w:val="auto"/>
        </w:rPr>
      </w:pPr>
      <w:r>
        <w:rPr>
          <w:rFonts w:ascii="Times New Roman" w:cs="Times New Roman" w:eastAsia="Times New Roman" w:hAnsi="Times New Roman"/>
          <w:sz w:val="20"/>
          <w:szCs w:val="20"/>
          <w:color w:val="auto"/>
        </w:rPr>
        <w:t>2.11. “</w:t>
      </w:r>
      <w:r>
        <w:rPr>
          <w:rFonts w:ascii="Times New Roman" w:cs="Times New Roman" w:eastAsia="Times New Roman" w:hAnsi="Times New Roman"/>
          <w:sz w:val="20"/>
          <w:szCs w:val="20"/>
          <w:u w:val="single" w:color="auto"/>
          <w:color w:val="auto"/>
        </w:rPr>
        <w:t>Covered Termination</w:t>
      </w:r>
      <w:r>
        <w:rPr>
          <w:rFonts w:ascii="Times New Roman" w:cs="Times New Roman" w:eastAsia="Times New Roman" w:hAnsi="Times New Roman"/>
          <w:sz w:val="20"/>
          <w:szCs w:val="20"/>
          <w:color w:val="auto"/>
        </w:rPr>
        <w:t>” means a Covered Employee’s termination of employment by the Company (or any parent or subsidiary of the Company) without Cause or as a result of a Covered Employee’s resignation for Good Reason; provided, that, in either case, such termination is not due to the Covered Employee’s death or disability.</w:t>
      </w:r>
    </w:p>
    <w:p>
      <w:pPr>
        <w:spacing w:after="0" w:line="17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2.12.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means the date that the Plan is approved by the Board or Compensation Committee.</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2.13.  “</w:t>
      </w:r>
      <w:r>
        <w:rPr>
          <w:rFonts w:ascii="Times New Roman" w:cs="Times New Roman" w:eastAsia="Times New Roman" w:hAnsi="Times New Roman"/>
          <w:sz w:val="20"/>
          <w:szCs w:val="20"/>
          <w:u w:val="single" w:color="auto"/>
          <w:color w:val="auto"/>
        </w:rPr>
        <w:t>Equity Plan</w:t>
      </w:r>
      <w:r>
        <w:rPr>
          <w:rFonts w:ascii="Times New Roman" w:cs="Times New Roman" w:eastAsia="Times New Roman" w:hAnsi="Times New Roman"/>
          <w:sz w:val="20"/>
          <w:szCs w:val="20"/>
          <w:color w:val="auto"/>
        </w:rPr>
        <w:t>” means the Company’s 2026 Equity Incentive Plan, as amended from time to time, or any successor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thereto.</w:t>
      </w:r>
    </w:p>
    <w:p>
      <w:pPr>
        <w:spacing w:after="0" w:line="19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2.14.  “</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means the Employee Retirement Income Security Act of 1974, as amended.</w:t>
      </w:r>
    </w:p>
    <w:p>
      <w:pPr>
        <w:spacing w:after="0" w:line="216" w:lineRule="exact"/>
        <w:rPr>
          <w:sz w:val="20"/>
          <w:szCs w:val="20"/>
          <w:color w:val="auto"/>
        </w:rPr>
      </w:pPr>
    </w:p>
    <w:p>
      <w:pPr>
        <w:ind w:right="20" w:firstLine="1497"/>
        <w:spacing w:after="0" w:line="256" w:lineRule="auto"/>
        <w:rPr>
          <w:sz w:val="20"/>
          <w:szCs w:val="20"/>
          <w:color w:val="auto"/>
        </w:rPr>
      </w:pPr>
      <w:r>
        <w:rPr>
          <w:rFonts w:ascii="Times New Roman" w:cs="Times New Roman" w:eastAsia="Times New Roman" w:hAnsi="Times New Roman"/>
          <w:sz w:val="19"/>
          <w:szCs w:val="19"/>
          <w:color w:val="auto"/>
        </w:rPr>
        <w:t>2.15. “</w:t>
      </w:r>
      <w:r>
        <w:rPr>
          <w:rFonts w:ascii="Times New Roman" w:cs="Times New Roman" w:eastAsia="Times New Roman" w:hAnsi="Times New Roman"/>
          <w:sz w:val="19"/>
          <w:szCs w:val="19"/>
          <w:u w:val="single" w:color="auto"/>
          <w:color w:val="auto"/>
        </w:rPr>
        <w:t>Good Reason</w:t>
      </w:r>
      <w:r>
        <w:rPr>
          <w:rFonts w:ascii="Times New Roman" w:cs="Times New Roman" w:eastAsia="Times New Roman" w:hAnsi="Times New Roman"/>
          <w:sz w:val="19"/>
          <w:szCs w:val="19"/>
          <w:color w:val="auto"/>
        </w:rPr>
        <w:t>” means with respect to such Covered Employee, any of the following conditions or actions taken by the Company without Cause and without such Covered Employee’s consent: (i) a material breach by the Company of an agreement between a Covered Employee and the Company; (ii) the Company materially reducing the Covered Employee’s base salary or annual cash incentive compensation opportunity, other than in connection with a comparable reduction affecting similarly situated employees; (iii) the Company significantly reducing the Covered Employee’s duties, authority or responsibilities relative to the Covered Employee’s duties, authority or responsibilities in effect immediately prior to such reduction; or (iv) the relocation of the Covered Employee’s principal place of employment by fifty (50) or more miles from the Covered Employee’s then-current principal place of employment; provided, further, that in each case above, in order for the Covered Employee’s resignation to be deemed to have been for Good Reason, the Covered Employee must first give the Company written notice of the action or omission giving rise to “Good Reason” within thirty (30) days after the first occurrence thereof; the Company must fail to reasonably cure such action or omission within thirty (30) days after receipt of such notice (the “</w:t>
      </w:r>
      <w:r>
        <w:rPr>
          <w:rFonts w:ascii="Times New Roman" w:cs="Times New Roman" w:eastAsia="Times New Roman" w:hAnsi="Times New Roman"/>
          <w:sz w:val="19"/>
          <w:szCs w:val="19"/>
          <w:u w:val="single" w:color="auto"/>
          <w:color w:val="auto"/>
        </w:rPr>
        <w:t>Cure Period</w:t>
      </w:r>
      <w:r>
        <w:rPr>
          <w:rFonts w:ascii="Times New Roman" w:cs="Times New Roman" w:eastAsia="Times New Roman" w:hAnsi="Times New Roman"/>
          <w:sz w:val="19"/>
          <w:szCs w:val="19"/>
          <w:color w:val="auto"/>
        </w:rPr>
        <w:t>”); and the Covered Employee’s resignation must be effective not later than thirty (30) days after the expiration of such Cure Period.</w:t>
      </w:r>
    </w:p>
    <w:p>
      <w:pPr>
        <w:spacing w:after="0" w:line="177" w:lineRule="exact"/>
        <w:rPr>
          <w:sz w:val="20"/>
          <w:szCs w:val="20"/>
          <w:color w:val="auto"/>
        </w:rPr>
      </w:pPr>
    </w:p>
    <w:p>
      <w:pPr>
        <w:ind w:firstLine="1497"/>
        <w:spacing w:after="0" w:line="254" w:lineRule="auto"/>
        <w:rPr>
          <w:sz w:val="20"/>
          <w:szCs w:val="20"/>
          <w:color w:val="auto"/>
        </w:rPr>
      </w:pPr>
      <w:r>
        <w:rPr>
          <w:rFonts w:ascii="Times New Roman" w:cs="Times New Roman" w:eastAsia="Times New Roman" w:hAnsi="Times New Roman"/>
          <w:sz w:val="20"/>
          <w:szCs w:val="20"/>
          <w:color w:val="auto"/>
        </w:rPr>
        <w:t>2.16. “</w:t>
      </w:r>
      <w:r>
        <w:rPr>
          <w:rFonts w:ascii="Times New Roman" w:cs="Times New Roman" w:eastAsia="Times New Roman" w:hAnsi="Times New Roman"/>
          <w:sz w:val="20"/>
          <w:szCs w:val="20"/>
          <w:u w:val="single" w:color="auto"/>
          <w:color w:val="auto"/>
        </w:rPr>
        <w:t>Participation Agreement</w:t>
      </w:r>
      <w:r>
        <w:rPr>
          <w:rFonts w:ascii="Times New Roman" w:cs="Times New Roman" w:eastAsia="Times New Roman" w:hAnsi="Times New Roman"/>
          <w:sz w:val="20"/>
          <w:szCs w:val="20"/>
          <w:color w:val="auto"/>
        </w:rPr>
        <w:t xml:space="preserve">” means an agreement between a Covered Employee and the Company in substantially the form of </w:t>
      </w:r>
      <w:r>
        <w:rPr>
          <w:rFonts w:ascii="Times New Roman" w:cs="Times New Roman" w:eastAsia="Times New Roman" w:hAnsi="Times New Roman"/>
          <w:sz w:val="20"/>
          <w:szCs w:val="20"/>
          <w:b w:val="1"/>
          <w:bCs w:val="1"/>
          <w:color w:val="auto"/>
        </w:rPr>
        <w:t>Appendix A</w:t>
      </w:r>
      <w:r>
        <w:rPr>
          <w:rFonts w:ascii="Times New Roman" w:cs="Times New Roman" w:eastAsia="Times New Roman" w:hAnsi="Times New Roman"/>
          <w:sz w:val="20"/>
          <w:szCs w:val="20"/>
          <w:color w:val="auto"/>
        </w:rPr>
        <w:t xml:space="preserve"> attached hereto, and which may include such other terms as the Administrator deems necessary or advisable in the administration of the Plan.</w:t>
      </w:r>
    </w:p>
    <w:p>
      <w:pPr>
        <w:spacing w:after="0" w:line="174" w:lineRule="exact"/>
        <w:rPr>
          <w:sz w:val="20"/>
          <w:szCs w:val="20"/>
          <w:color w:val="auto"/>
        </w:rPr>
      </w:pPr>
    </w:p>
    <w:p>
      <w:pPr>
        <w:ind w:right="320" w:firstLine="1497"/>
        <w:spacing w:after="0" w:line="269" w:lineRule="auto"/>
        <w:rPr>
          <w:sz w:val="20"/>
          <w:szCs w:val="20"/>
          <w:color w:val="auto"/>
        </w:rPr>
      </w:pPr>
      <w:r>
        <w:rPr>
          <w:rFonts w:ascii="Times New Roman" w:cs="Times New Roman" w:eastAsia="Times New Roman" w:hAnsi="Times New Roman"/>
          <w:sz w:val="20"/>
          <w:szCs w:val="20"/>
          <w:color w:val="auto"/>
        </w:rPr>
        <w:t>2.17. “</w:t>
      </w:r>
      <w:r>
        <w:rPr>
          <w:rFonts w:ascii="Times New Roman" w:cs="Times New Roman" w:eastAsia="Times New Roman" w:hAnsi="Times New Roman"/>
          <w:sz w:val="20"/>
          <w:szCs w:val="20"/>
          <w:u w:val="single" w:color="auto"/>
          <w:color w:val="auto"/>
        </w:rPr>
        <w:t>Severance Benefits</w:t>
      </w:r>
      <w:r>
        <w:rPr>
          <w:rFonts w:ascii="Times New Roman" w:cs="Times New Roman" w:eastAsia="Times New Roman" w:hAnsi="Times New Roman"/>
          <w:sz w:val="20"/>
          <w:szCs w:val="20"/>
          <w:color w:val="auto"/>
        </w:rPr>
        <w:t>” means, as the context requires, the Standard Severance Benefits and/or the CIC Severance Benefits the Covered Employee will be provided pursuant to Section 4.</w:t>
      </w:r>
    </w:p>
    <w:p>
      <w:pPr>
        <w:spacing w:after="0" w:line="15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2.18.  “</w:t>
      </w:r>
      <w:r>
        <w:rPr>
          <w:rFonts w:ascii="Times New Roman" w:cs="Times New Roman" w:eastAsia="Times New Roman" w:hAnsi="Times New Roman"/>
          <w:sz w:val="20"/>
          <w:szCs w:val="20"/>
          <w:u w:val="single" w:color="auto"/>
          <w:color w:val="auto"/>
        </w:rPr>
        <w:t>Termination Date</w:t>
      </w:r>
      <w:r>
        <w:rPr>
          <w:rFonts w:ascii="Times New Roman" w:cs="Times New Roman" w:eastAsia="Times New Roman" w:hAnsi="Times New Roman"/>
          <w:sz w:val="20"/>
          <w:szCs w:val="20"/>
          <w:color w:val="auto"/>
        </w:rPr>
        <w:t>” means the Covered Employee’s last day of employment with the Company.</w:t>
      </w:r>
    </w:p>
    <w:p>
      <w:pPr>
        <w:spacing w:after="0" w:line="216" w:lineRule="exact"/>
        <w:rPr>
          <w:sz w:val="20"/>
          <w:szCs w:val="20"/>
          <w:color w:val="auto"/>
        </w:rPr>
      </w:pPr>
    </w:p>
    <w:p>
      <w:pPr>
        <w:ind w:right="280" w:firstLine="757"/>
        <w:spacing w:after="0" w:line="269" w:lineRule="auto"/>
        <w:tabs>
          <w:tab w:leader="none" w:pos="1018"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Eligibility for Severance Benefits</w:t>
      </w:r>
      <w:r>
        <w:rPr>
          <w:rFonts w:ascii="Times New Roman" w:cs="Times New Roman" w:eastAsia="Times New Roman" w:hAnsi="Times New Roman"/>
          <w:sz w:val="20"/>
          <w:szCs w:val="20"/>
          <w:color w:val="auto"/>
        </w:rPr>
        <w:t>. An individual is eligible for Severance Benefits under the Plan, in the amounts set forth in Section 4, only if such individual is a Covered Employee on the date such individual experiences a Covered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994410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00" w:lineRule="exact"/>
        <w:rPr>
          <w:sz w:val="20"/>
          <w:szCs w:val="20"/>
          <w:color w:val="auto"/>
        </w:rPr>
      </w:pPr>
    </w:p>
    <w:p>
      <w:pPr>
        <w:spacing w:after="0" w:line="237" w:lineRule="exact"/>
        <w:rPr>
          <w:sz w:val="20"/>
          <w:szCs w:val="20"/>
          <w:color w:val="auto"/>
        </w:rPr>
      </w:pPr>
    </w:p>
    <w:p>
      <w:pPr>
        <w:ind w:left="1020" w:hanging="263"/>
        <w:spacing w:after="0"/>
        <w:tabs>
          <w:tab w:leader="none" w:pos="10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Severance Benefits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140" w:firstLine="1423"/>
        <w:spacing w:after="0" w:line="249" w:lineRule="auto"/>
        <w:rPr>
          <w:sz w:val="20"/>
          <w:szCs w:val="20"/>
          <w:color w:val="auto"/>
        </w:rPr>
      </w:pPr>
      <w:r>
        <w:rPr>
          <w:rFonts w:ascii="Times New Roman" w:cs="Times New Roman" w:eastAsia="Times New Roman" w:hAnsi="Times New Roman"/>
          <w:sz w:val="20"/>
          <w:szCs w:val="20"/>
          <w:color w:val="auto"/>
        </w:rPr>
        <w:t>4.1.</w:t>
      </w:r>
      <w:r>
        <w:rPr>
          <w:rFonts w:ascii="Times New Roman" w:cs="Times New Roman" w:eastAsia="Times New Roman" w:hAnsi="Times New Roman"/>
          <w:sz w:val="20"/>
          <w:szCs w:val="20"/>
          <w:u w:val="single" w:color="auto"/>
          <w:color w:val="auto"/>
        </w:rPr>
        <w:t>Covered Termination Outside the Change in Control Period</w:t>
      </w:r>
      <w:r>
        <w:rPr>
          <w:rFonts w:ascii="Times New Roman" w:cs="Times New Roman" w:eastAsia="Times New Roman" w:hAnsi="Times New Roman"/>
          <w:sz w:val="20"/>
          <w:szCs w:val="20"/>
          <w:color w:val="auto"/>
        </w:rPr>
        <w:t>. If, at any time outside of the Change in Control Period, a Covered Employee experiences a Covered Termination, then, subject to the Covered Employee’s compliance with Section 5 and the conditions set forth in this Plan, the Covered Employee shall receive the following Severance Benefits from the Company (the “</w:t>
      </w:r>
      <w:r>
        <w:rPr>
          <w:rFonts w:ascii="Times New Roman" w:cs="Times New Roman" w:eastAsia="Times New Roman" w:hAnsi="Times New Roman"/>
          <w:sz w:val="20"/>
          <w:szCs w:val="20"/>
          <w:u w:val="single" w:color="auto"/>
          <w:color w:val="auto"/>
        </w:rPr>
        <w:t>Standard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Severance Benefits</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ind w:right="20" w:firstLine="2246"/>
        <w:spacing w:after="0" w:line="256" w:lineRule="auto"/>
        <w:rPr>
          <w:sz w:val="20"/>
          <w:szCs w:val="20"/>
          <w:color w:val="auto"/>
        </w:rPr>
      </w:pPr>
      <w:r>
        <w:rPr>
          <w:rFonts w:ascii="Times New Roman" w:cs="Times New Roman" w:eastAsia="Times New Roman" w:hAnsi="Times New Roman"/>
          <w:sz w:val="19"/>
          <w:szCs w:val="19"/>
          <w:color w:val="auto"/>
        </w:rPr>
        <w:t>4.1.1.</w:t>
      </w:r>
      <w:r>
        <w:rPr>
          <w:rFonts w:ascii="Times New Roman" w:cs="Times New Roman" w:eastAsia="Times New Roman" w:hAnsi="Times New Roman"/>
          <w:sz w:val="19"/>
          <w:szCs w:val="19"/>
          <w:u w:val="single" w:color="auto"/>
          <w:color w:val="auto"/>
        </w:rPr>
        <w:t>Cash Severance Benefits</w:t>
      </w:r>
      <w:r>
        <w:rPr>
          <w:rFonts w:ascii="Times New Roman" w:cs="Times New Roman" w:eastAsia="Times New Roman" w:hAnsi="Times New Roman"/>
          <w:sz w:val="19"/>
          <w:szCs w:val="19"/>
          <w:color w:val="auto"/>
        </w:rPr>
        <w:t>. The Covered Employee shall receive cash severance in an amount equal to the Covered Employee’s base salary (as in effect immediately prior to any reduction giving rise to Good Reason, if applicable) for the applicable number of months set forth in the Covered Employee’s Participation Agreement (such cash amount, the “</w:t>
      </w:r>
      <w:r>
        <w:rPr>
          <w:rFonts w:ascii="Times New Roman" w:cs="Times New Roman" w:eastAsia="Times New Roman" w:hAnsi="Times New Roman"/>
          <w:sz w:val="19"/>
          <w:szCs w:val="19"/>
          <w:u w:val="single" w:color="auto"/>
          <w:color w:val="auto"/>
        </w:rPr>
        <w:t>Cash Severance</w:t>
      </w:r>
      <w:r>
        <w:rPr>
          <w:rFonts w:ascii="Times New Roman" w:cs="Times New Roman" w:eastAsia="Times New Roman" w:hAnsi="Times New Roman"/>
          <w:sz w:val="19"/>
          <w:szCs w:val="19"/>
          <w:color w:val="auto"/>
        </w:rPr>
        <w:t>,” and such number of months, the “</w:t>
      </w:r>
      <w:r>
        <w:rPr>
          <w:rFonts w:ascii="Times New Roman" w:cs="Times New Roman" w:eastAsia="Times New Roman" w:hAnsi="Times New Roman"/>
          <w:sz w:val="19"/>
          <w:szCs w:val="19"/>
          <w:u w:val="single" w:color="auto"/>
          <w:color w:val="auto"/>
        </w:rPr>
        <w:t>Standard Severance Period</w:t>
      </w:r>
      <w:r>
        <w:rPr>
          <w:rFonts w:ascii="Times New Roman" w:cs="Times New Roman" w:eastAsia="Times New Roman" w:hAnsi="Times New Roman"/>
          <w:sz w:val="19"/>
          <w:szCs w:val="19"/>
          <w:color w:val="auto"/>
        </w:rPr>
        <w:t>”). The Cash Severance shall be paid, less applicable tax withholdings, in equal installments on the Company’s regular payroll schedule over the Standard Severance Period, provided, that no payment of Cash Severance shall be made prior to the first payroll date following the effective date of the Release (the “</w:t>
      </w:r>
      <w:r>
        <w:rPr>
          <w:rFonts w:ascii="Times New Roman" w:cs="Times New Roman" w:eastAsia="Times New Roman" w:hAnsi="Times New Roman"/>
          <w:sz w:val="19"/>
          <w:szCs w:val="19"/>
          <w:u w:val="single" w:color="auto"/>
          <w:color w:val="auto"/>
        </w:rPr>
        <w:t>Initial Payment Date</w:t>
      </w:r>
      <w:r>
        <w:rPr>
          <w:rFonts w:ascii="Times New Roman" w:cs="Times New Roman" w:eastAsia="Times New Roman" w:hAnsi="Times New Roman"/>
          <w:sz w:val="19"/>
          <w:szCs w:val="19"/>
          <w:color w:val="auto"/>
        </w:rPr>
        <w:t>”). On the Initial Payment Date, the Company shall pay the Covered Employee in a lump sum the portion of the Cash Severance that the Covered Employee would have received on or prior to the Initial Payment Date under the original schedule but for the delay while waiting for the Initial Payment Date in compliance with Section 409A (as defined below) and the effectiveness of the Release (as defined below), with the balance of the Cash Severance being paid as originally scheduled. Notwithstanding the foregoing, the Company may, in its sole discretion, pay the Cash Severance in the form of a lump sum, which amount will be paid on the Initial Payment Date, but such lump sum payment of the Cash Severance shall be made only if the Company, in consultation with its advisors, determines that such payment will not result in adverse taxation under Section 409A.</w:t>
      </w:r>
    </w:p>
    <w:p>
      <w:pPr>
        <w:spacing w:after="0" w:line="174" w:lineRule="exact"/>
        <w:rPr>
          <w:sz w:val="20"/>
          <w:szCs w:val="20"/>
          <w:color w:val="auto"/>
        </w:rPr>
      </w:pPr>
    </w:p>
    <w:p>
      <w:pPr>
        <w:ind w:firstLine="2246"/>
        <w:spacing w:after="0" w:line="241" w:lineRule="auto"/>
        <w:rPr>
          <w:sz w:val="20"/>
          <w:szCs w:val="20"/>
          <w:color w:val="auto"/>
        </w:rPr>
      </w:pPr>
      <w:r>
        <w:rPr>
          <w:rFonts w:ascii="Times New Roman" w:cs="Times New Roman" w:eastAsia="Times New Roman" w:hAnsi="Times New Roman"/>
          <w:sz w:val="20"/>
          <w:szCs w:val="20"/>
          <w:color w:val="auto"/>
        </w:rPr>
        <w:t>4.1.2.</w:t>
      </w:r>
      <w:r>
        <w:rPr>
          <w:rFonts w:ascii="Times New Roman" w:cs="Times New Roman" w:eastAsia="Times New Roman" w:hAnsi="Times New Roman"/>
          <w:sz w:val="20"/>
          <w:szCs w:val="20"/>
          <w:u w:val="single" w:color="auto"/>
          <w:color w:val="auto"/>
        </w:rPr>
        <w:t>COBRA Premiums</w:t>
      </w:r>
      <w:r>
        <w:rPr>
          <w:rFonts w:ascii="Times New Roman" w:cs="Times New Roman" w:eastAsia="Times New Roman" w:hAnsi="Times New Roman"/>
          <w:sz w:val="20"/>
          <w:szCs w:val="20"/>
          <w:color w:val="auto"/>
        </w:rPr>
        <w:t>. Provided that the Covered Employee is eligible for and timely makes the necessary elections for continuation coverage pursuant to COBRA the Company shall pay the applicable premiums (inclusive of premiums for the Covered Employee’s dependents) for such coverage following the date of the Covered Employee’s Covered Termination for the Standard Severance Period (such period of months, the “</w:t>
      </w:r>
      <w:r>
        <w:rPr>
          <w:rFonts w:ascii="Times New Roman" w:cs="Times New Roman" w:eastAsia="Times New Roman" w:hAnsi="Times New Roman"/>
          <w:sz w:val="20"/>
          <w:szCs w:val="20"/>
          <w:u w:val="single" w:color="auto"/>
          <w:color w:val="auto"/>
        </w:rPr>
        <w:t>Standard COBRA Payment Period</w:t>
      </w:r>
      <w:r>
        <w:rPr>
          <w:rFonts w:ascii="Times New Roman" w:cs="Times New Roman" w:eastAsia="Times New Roman" w:hAnsi="Times New Roman"/>
          <w:sz w:val="20"/>
          <w:szCs w:val="20"/>
          <w:color w:val="auto"/>
        </w:rPr>
        <w:t>”) (but in no event after such time as the Covered Employee is eligible for coverage under a health, dental or vision insurance plan of a subsequent employer or as the Covered Employee and the Covered Employee’s dependents are no longer eligible for COBRA coverage). The Covered Employee shall notify the Company immediately if the Covered Employee becomes covered by a health, dental, or vision insurance plan of a subsequent employer or if the Covered Employee’s dependents are no longer eligible for COBRA coverage. Notwithstanding the foregoing, if at any time the Company determines, in its sole discretion, that it cannot provide the COBRA premium benefits without potentially incurring financial costs or penalties under applicable law (including, without limitation, Section 2716 of the Public Health Service Act), then in lieu of paying COBRA premiums on the Covered Employee’s behalf, the Company will instead pay such Covered Employee on the last day of each remaining month of the Standard COBRA Payment Period a fully taxable cash payment equal to the COBRA premium for that month, subject to applicable tax withholding (such amount, the “</w:t>
      </w:r>
      <w:r>
        <w:rPr>
          <w:rFonts w:ascii="Times New Roman" w:cs="Times New Roman" w:eastAsia="Times New Roman" w:hAnsi="Times New Roman"/>
          <w:sz w:val="20"/>
          <w:szCs w:val="20"/>
          <w:u w:val="single" w:color="auto"/>
          <w:color w:val="auto"/>
        </w:rPr>
        <w:t>Special Severance Payment</w:t>
      </w:r>
      <w:r>
        <w:rPr>
          <w:rFonts w:ascii="Times New Roman" w:cs="Times New Roman" w:eastAsia="Times New Roman" w:hAnsi="Times New Roman"/>
          <w:sz w:val="20"/>
          <w:szCs w:val="20"/>
          <w:color w:val="auto"/>
        </w:rPr>
        <w:t>”), such Special Severance Payment to be made without regard to the Covered Employee’s election of COBRA coverage or payment of COBRA premiums and without regard to such Covered Employee’s continued eligibility for COBRA coverage during the Standard COBRA Payment Period. Such Special Severance Payment shall end upon expiration of the Standard COBRA Payment Period.</w:t>
      </w:r>
    </w:p>
    <w:p>
      <w:pPr>
        <w:spacing w:after="0" w:line="193" w:lineRule="exact"/>
        <w:rPr>
          <w:sz w:val="20"/>
          <w:szCs w:val="20"/>
          <w:color w:val="auto"/>
        </w:rPr>
      </w:pPr>
    </w:p>
    <w:p>
      <w:pPr>
        <w:ind w:left="100" w:right="140" w:firstLine="1408"/>
        <w:spacing w:after="0" w:line="254"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u w:val="single" w:color="auto"/>
          <w:color w:val="auto"/>
        </w:rPr>
        <w:t>Covered Termination During the Change in Control Period</w:t>
      </w:r>
      <w:r>
        <w:rPr>
          <w:rFonts w:ascii="Times New Roman" w:cs="Times New Roman" w:eastAsia="Times New Roman" w:hAnsi="Times New Roman"/>
          <w:sz w:val="20"/>
          <w:szCs w:val="20"/>
          <w:color w:val="auto"/>
        </w:rPr>
        <w:t>. If, at any time during the Change in Control Period, a Covered Employee experiences a Covered Termination, then, subject to the Covered Employee’s compliance with Section 5 and the conditions set forth in this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1003935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00" w:lineRule="exact"/>
        <w:rPr>
          <w:sz w:val="20"/>
          <w:szCs w:val="20"/>
          <w:color w:val="auto"/>
        </w:rPr>
      </w:pPr>
    </w:p>
    <w:p>
      <w:pPr>
        <w:spacing w:after="0" w:line="23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the Covered Employee shall receive the following Severance Benefits from the Company (the “</w:t>
      </w:r>
      <w:r>
        <w:rPr>
          <w:rFonts w:ascii="Times New Roman" w:cs="Times New Roman" w:eastAsia="Times New Roman" w:hAnsi="Times New Roman"/>
          <w:sz w:val="20"/>
          <w:szCs w:val="20"/>
          <w:u w:val="single" w:color="auto"/>
          <w:color w:val="auto"/>
        </w:rPr>
        <w:t>CIC Severance Benefits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60" w:firstLine="2246"/>
        <w:spacing w:after="0" w:line="246" w:lineRule="auto"/>
        <w:rPr>
          <w:sz w:val="20"/>
          <w:szCs w:val="20"/>
          <w:color w:val="auto"/>
        </w:rPr>
      </w:pPr>
      <w:r>
        <w:rPr>
          <w:rFonts w:ascii="Times New Roman" w:cs="Times New Roman" w:eastAsia="Times New Roman" w:hAnsi="Times New Roman"/>
          <w:sz w:val="20"/>
          <w:szCs w:val="20"/>
          <w:color w:val="auto"/>
        </w:rPr>
        <w:t>4.2.1.</w:t>
      </w:r>
      <w:r>
        <w:rPr>
          <w:rFonts w:ascii="Times New Roman" w:cs="Times New Roman" w:eastAsia="Times New Roman" w:hAnsi="Times New Roman"/>
          <w:sz w:val="20"/>
          <w:szCs w:val="20"/>
          <w:u w:val="single" w:color="auto"/>
          <w:color w:val="auto"/>
        </w:rPr>
        <w:t>Cash Severance Benefits</w:t>
      </w:r>
      <w:r>
        <w:rPr>
          <w:rFonts w:ascii="Times New Roman" w:cs="Times New Roman" w:eastAsia="Times New Roman" w:hAnsi="Times New Roman"/>
          <w:sz w:val="20"/>
          <w:szCs w:val="20"/>
          <w:color w:val="auto"/>
        </w:rPr>
        <w:t>. The Covered Employee shall receive cash severance in an amount equal to the Covered Employee’s base salary (as in effect immediately prior to any reduction giving rise to Good Reason, if applicable) for the applicable number of months set forth in the Covered Employee’s Participation Agreement (such cash amount, the “</w:t>
      </w:r>
      <w:r>
        <w:rPr>
          <w:rFonts w:ascii="Times New Roman" w:cs="Times New Roman" w:eastAsia="Times New Roman" w:hAnsi="Times New Roman"/>
          <w:sz w:val="20"/>
          <w:szCs w:val="20"/>
          <w:u w:val="single" w:color="auto"/>
          <w:color w:val="auto"/>
        </w:rPr>
        <w:t>CIC Cash Severance</w:t>
      </w:r>
      <w:r>
        <w:rPr>
          <w:rFonts w:ascii="Times New Roman" w:cs="Times New Roman" w:eastAsia="Times New Roman" w:hAnsi="Times New Roman"/>
          <w:sz w:val="20"/>
          <w:szCs w:val="20"/>
          <w:color w:val="auto"/>
        </w:rPr>
        <w:t>,” and such number of months, the “</w:t>
      </w:r>
      <w:r>
        <w:rPr>
          <w:rFonts w:ascii="Times New Roman" w:cs="Times New Roman" w:eastAsia="Times New Roman" w:hAnsi="Times New Roman"/>
          <w:sz w:val="20"/>
          <w:szCs w:val="20"/>
          <w:u w:val="single" w:color="auto"/>
          <w:color w:val="auto"/>
        </w:rPr>
        <w:t>CIC Severance Period</w:t>
      </w:r>
      <w:r>
        <w:rPr>
          <w:rFonts w:ascii="Times New Roman" w:cs="Times New Roman" w:eastAsia="Times New Roman" w:hAnsi="Times New Roman"/>
          <w:sz w:val="20"/>
          <w:szCs w:val="20"/>
          <w:color w:val="auto"/>
        </w:rPr>
        <w:t>”). The CIC Cash Severance shall be paid, less applicable tax withholdings, in a lump sum on the later of (i) the Initial Payment Date or (ii) the first payroll date following the Change in Control.</w:t>
      </w:r>
    </w:p>
    <w:p>
      <w:pPr>
        <w:spacing w:after="0" w:line="185" w:lineRule="exact"/>
        <w:rPr>
          <w:sz w:val="20"/>
          <w:szCs w:val="20"/>
          <w:color w:val="auto"/>
        </w:rPr>
      </w:pPr>
    </w:p>
    <w:p>
      <w:pPr>
        <w:ind w:right="140" w:firstLine="2246"/>
        <w:spacing w:after="0" w:line="246" w:lineRule="auto"/>
        <w:rPr>
          <w:sz w:val="20"/>
          <w:szCs w:val="20"/>
          <w:color w:val="auto"/>
        </w:rPr>
      </w:pPr>
      <w:r>
        <w:rPr>
          <w:rFonts w:ascii="Times New Roman" w:cs="Times New Roman" w:eastAsia="Times New Roman" w:hAnsi="Times New Roman"/>
          <w:sz w:val="20"/>
          <w:szCs w:val="20"/>
          <w:color w:val="auto"/>
        </w:rPr>
        <w:t>4.2.2.</w:t>
      </w:r>
      <w:r>
        <w:rPr>
          <w:rFonts w:ascii="Times New Roman" w:cs="Times New Roman" w:eastAsia="Times New Roman" w:hAnsi="Times New Roman"/>
          <w:sz w:val="20"/>
          <w:szCs w:val="20"/>
          <w:u w:val="single" w:color="auto"/>
          <w:color w:val="auto"/>
        </w:rPr>
        <w:t>Target Annual Bonus Entitlement</w:t>
      </w:r>
      <w:r>
        <w:rPr>
          <w:rFonts w:ascii="Times New Roman" w:cs="Times New Roman" w:eastAsia="Times New Roman" w:hAnsi="Times New Roman"/>
          <w:sz w:val="20"/>
          <w:szCs w:val="20"/>
          <w:color w:val="auto"/>
        </w:rPr>
        <w:t>. The Covered Employee will additionally receive a multiple of such Covered Employee’s target annual bonus, as established by the Board for the year in which the Covered Termination occurs and as set forth in the Covered Employee’s Participation Agreement (the “</w:t>
      </w:r>
      <w:r>
        <w:rPr>
          <w:rFonts w:ascii="Times New Roman" w:cs="Times New Roman" w:eastAsia="Times New Roman" w:hAnsi="Times New Roman"/>
          <w:sz w:val="20"/>
          <w:szCs w:val="20"/>
          <w:u w:val="single" w:color="auto"/>
          <w:color w:val="auto"/>
        </w:rPr>
        <w:t>CIC Target Bonus</w:t>
      </w:r>
      <w:r>
        <w:rPr>
          <w:rFonts w:ascii="Times New Roman" w:cs="Times New Roman" w:eastAsia="Times New Roman" w:hAnsi="Times New Roman"/>
          <w:sz w:val="20"/>
          <w:szCs w:val="20"/>
          <w:color w:val="auto"/>
        </w:rPr>
        <w:t>”). Such payment of the CIC Target Bonus shall be made, less applicable tax withholdings, in a lump sum on the later of (i) the Initial Payment Date or (ii) the first payroll date following the Change in Control.</w:t>
      </w:r>
    </w:p>
    <w:p>
      <w:pPr>
        <w:spacing w:after="0" w:line="185" w:lineRule="exact"/>
        <w:rPr>
          <w:sz w:val="20"/>
          <w:szCs w:val="20"/>
          <w:color w:val="auto"/>
        </w:rPr>
      </w:pPr>
    </w:p>
    <w:p>
      <w:pPr>
        <w:ind w:right="20" w:firstLine="2246"/>
        <w:spacing w:after="0" w:line="241" w:lineRule="auto"/>
        <w:rPr>
          <w:sz w:val="20"/>
          <w:szCs w:val="20"/>
          <w:color w:val="auto"/>
        </w:rPr>
      </w:pPr>
      <w:r>
        <w:rPr>
          <w:rFonts w:ascii="Times New Roman" w:cs="Times New Roman" w:eastAsia="Times New Roman" w:hAnsi="Times New Roman"/>
          <w:sz w:val="20"/>
          <w:szCs w:val="20"/>
          <w:color w:val="auto"/>
        </w:rPr>
        <w:t>4.2.3.</w:t>
      </w:r>
      <w:r>
        <w:rPr>
          <w:rFonts w:ascii="Times New Roman" w:cs="Times New Roman" w:eastAsia="Times New Roman" w:hAnsi="Times New Roman"/>
          <w:sz w:val="20"/>
          <w:szCs w:val="20"/>
          <w:u w:val="single" w:color="auto"/>
          <w:color w:val="auto"/>
        </w:rPr>
        <w:t>COBRA Premiums</w:t>
      </w:r>
      <w:r>
        <w:rPr>
          <w:rFonts w:ascii="Times New Roman" w:cs="Times New Roman" w:eastAsia="Times New Roman" w:hAnsi="Times New Roman"/>
          <w:sz w:val="20"/>
          <w:szCs w:val="20"/>
          <w:color w:val="auto"/>
        </w:rPr>
        <w:t>. Provided that the Covered Employee is eligible for and timely makes the necessary elections for continuation coverage pursuant to COBRA, the Company shall pay the applicable premiums (inclusive of premiums for the Covered Employee’s dependents) for such coverage following the date of the Covered Employee’s Covered Termination for up to the CIC Severance Period (such period of months, the “</w:t>
      </w:r>
      <w:r>
        <w:rPr>
          <w:rFonts w:ascii="Times New Roman" w:cs="Times New Roman" w:eastAsia="Times New Roman" w:hAnsi="Times New Roman"/>
          <w:sz w:val="20"/>
          <w:szCs w:val="20"/>
          <w:u w:val="single" w:color="auto"/>
          <w:color w:val="auto"/>
        </w:rPr>
        <w:t>CIC COBRA Payment Period</w:t>
      </w:r>
      <w:r>
        <w:rPr>
          <w:rFonts w:ascii="Times New Roman" w:cs="Times New Roman" w:eastAsia="Times New Roman" w:hAnsi="Times New Roman"/>
          <w:sz w:val="20"/>
          <w:szCs w:val="20"/>
          <w:color w:val="auto"/>
        </w:rPr>
        <w:t>”) (but in no event after such time as the Covered Employee is eligible for coverage under a health, dental or vision insurance plan of a subsequent employer or as the Covered Employee and the Covered Employee’s dependents are no longer eligible for COBRA coverage). The Covered Employee shall notify the Company immediately if the Covered Employee becomes covered by a health, dental, or vision insurance plan of a subsequent employer or if the Covered Employee’s dependents are no longer eligible for COBRA coverage. Notwithstanding the foregoing, if at any time the Company determines, in its sole discretion, that it cannot provide the COBRA premium benefits without potentially incurring financial costs or penalties under applicable law (including, without limitation, Section 2716 of the Public Health Service Act), then in lieu of paying COBRA premiums on the Covered Employee’s behalf, the Company will instead pay such Covered Employee on the last day of each remaining month of the CIC COBRA Payment Period a Special Severance Payment to be made without regard to the Covered Employee’s election of COBRA coverage or payment of COBRA premiums and without regard to such Covered Employee’s continued eligibility for COBRA coverage during the CIC COBRA Payment Period. Such Special Severance Payment shall end upon expiration of the CIC COBRA Payment Period.</w:t>
      </w:r>
    </w:p>
    <w:p>
      <w:pPr>
        <w:spacing w:after="0" w:line="196" w:lineRule="exact"/>
        <w:rPr>
          <w:sz w:val="20"/>
          <w:szCs w:val="20"/>
          <w:color w:val="auto"/>
        </w:rPr>
      </w:pPr>
    </w:p>
    <w:p>
      <w:pPr>
        <w:ind w:right="20" w:firstLine="2246"/>
        <w:spacing w:after="0" w:line="242" w:lineRule="auto"/>
        <w:rPr>
          <w:sz w:val="20"/>
          <w:szCs w:val="20"/>
          <w:color w:val="auto"/>
        </w:rPr>
      </w:pPr>
      <w:r>
        <w:rPr>
          <w:rFonts w:ascii="Times New Roman" w:cs="Times New Roman" w:eastAsia="Times New Roman" w:hAnsi="Times New Roman"/>
          <w:sz w:val="20"/>
          <w:szCs w:val="20"/>
          <w:color w:val="auto"/>
        </w:rPr>
        <w:t>4.2.4.</w:t>
      </w:r>
      <w:r>
        <w:rPr>
          <w:rFonts w:ascii="Times New Roman" w:cs="Times New Roman" w:eastAsia="Times New Roman" w:hAnsi="Times New Roman"/>
          <w:sz w:val="20"/>
          <w:szCs w:val="20"/>
          <w:u w:val="single" w:color="auto"/>
          <w:color w:val="auto"/>
        </w:rPr>
        <w:t>Equity Vesting</w:t>
      </w:r>
      <w:r>
        <w:rPr>
          <w:rFonts w:ascii="Times New Roman" w:cs="Times New Roman" w:eastAsia="Times New Roman" w:hAnsi="Times New Roman"/>
          <w:sz w:val="20"/>
          <w:szCs w:val="20"/>
          <w:color w:val="auto"/>
        </w:rPr>
        <w:t>. Each of the Covered Employee’s then-outstanding equity awards that are subject solely to time-based vesting shall accelerate and become vested and exercisable, as to the applicable percentage set forth in the Covered Employee’s Participation Agreement, of the unvested shares subject to the equity award, with the exception of any award granted after the Effective Date that explicitly overrides this provision in writing. Any awards that vest upon the satisfaction of performance criteria shall be subject to the vesting and acceleration terms, if any, as set forth in the individual agreement governing such award. Subject to Section 5, the accelerated vesting described in this section shall be effective as of the Termination Date. Notwithstanding anything herein to the contrary, nothing in the Plan shall limit the Company’s ability to accelerate vesting and/or exercisability of outstanding equity awards pursuant to the terms of the applicable equity incentive plan of the Company. In order to give effect to the intent of the foregoing provision, notwithstanding anything to the contrary set forth in the applicable equity incentive plan of the Company or the applicable equity award agreements that provide that any then-unvested portion of the Covered Employee’s award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1015365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00" w:lineRule="exact"/>
        <w:rPr>
          <w:sz w:val="20"/>
          <w:szCs w:val="20"/>
          <w:color w:val="auto"/>
        </w:rPr>
      </w:pPr>
    </w:p>
    <w:p>
      <w:pPr>
        <w:spacing w:after="0" w:line="237"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immediately expire upon such Covered Employee’s termination of service, such Covered Employee’s equity awards shall remain outstanding following such Covered Employee’s Covered Termination to give effect to such acceleration as necessary.</w:t>
      </w:r>
    </w:p>
    <w:p>
      <w:pPr>
        <w:spacing w:after="0" w:line="159" w:lineRule="exact"/>
        <w:rPr>
          <w:sz w:val="20"/>
          <w:szCs w:val="20"/>
          <w:color w:val="auto"/>
        </w:rPr>
      </w:pPr>
    </w:p>
    <w:p>
      <w:pPr>
        <w:ind w:left="1020" w:hanging="263"/>
        <w:spacing w:after="0"/>
        <w:tabs>
          <w:tab w:leader="none" w:pos="102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 to Receipt of Severance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60" w:firstLine="1497"/>
        <w:spacing w:after="0" w:line="241" w:lineRule="auto"/>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u w:val="single" w:color="auto"/>
          <w:color w:val="auto"/>
        </w:rPr>
        <w:t>Release Agreement</w:t>
      </w:r>
      <w:r>
        <w:rPr>
          <w:rFonts w:ascii="Times New Roman" w:cs="Times New Roman" w:eastAsia="Times New Roman" w:hAnsi="Times New Roman"/>
          <w:sz w:val="20"/>
          <w:szCs w:val="20"/>
          <w:color w:val="auto"/>
        </w:rPr>
        <w:t>. As a condition to receiving any Severance Benefits described in Section 4 herein, a Covered Employee must sign a separation agreement containing among other provisions, a release of all claims in favor of the Company and its subsidiaries and affiliates (the “</w:t>
      </w: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in such form as may be provided by the Company. The Release must become effective in accordance with its terms, which must occur in no event more than sixty (60) days following the date of the applicable Covered Termination</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xml:space="preserve"> In no event shall payment of any benefits under the Plan be made prior to a Covered Employee’s Termination Date or prior to the effective date of the Release. If the Company determines that any payments or benefits provided under the Plan constitute “deferred compensation” under Section 409A, and the Covered Employee’s Termination Date occurs at a time during the calendar year when the Release could become effective in the calendar year following the calendar year in which the Covered Employee’s “separation from service” within the meaning of Section 409A of the Code and the final regulations and any guidance promulgated thereunder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occurs, then regardless of when the Release is returned to the Company and becomes effective, the Release will not be deemed effective any earlier than the latest permitted effective date; provided, that except to the extent that payments may be delayed in accordance with Section 8, on the first regular payroll date following the effective date of a Covered Employee’s Release, the Company shall (i) pay the Covered Employee a lump sum amount equal to the sum of the appliable Severance Benefits that the Covered Employee would otherwise have received through such payroll date but for the delay in payment related to the effectiveness of the Release and (ii) commence paying the balance, if any, of the Severance Benefits in accordance with the applicable payment schedule.</w:t>
      </w:r>
    </w:p>
    <w:p>
      <w:pPr>
        <w:spacing w:after="0" w:line="196" w:lineRule="exact"/>
        <w:rPr>
          <w:sz w:val="20"/>
          <w:szCs w:val="20"/>
          <w:color w:val="auto"/>
        </w:rPr>
      </w:pPr>
    </w:p>
    <w:p>
      <w:pPr>
        <w:ind w:right="20" w:firstLine="1497"/>
        <w:spacing w:after="0" w:line="260" w:lineRule="auto"/>
        <w:rPr>
          <w:sz w:val="20"/>
          <w:szCs w:val="20"/>
          <w:color w:val="auto"/>
        </w:rPr>
      </w:pPr>
      <w:r>
        <w:rPr>
          <w:rFonts w:ascii="Times New Roman" w:cs="Times New Roman" w:eastAsia="Times New Roman" w:hAnsi="Times New Roman"/>
          <w:sz w:val="19"/>
          <w:szCs w:val="19"/>
          <w:color w:val="auto"/>
        </w:rPr>
        <w:t xml:space="preserve">5.2. </w:t>
      </w:r>
      <w:r>
        <w:rPr>
          <w:rFonts w:ascii="Times New Roman" w:cs="Times New Roman" w:eastAsia="Times New Roman" w:hAnsi="Times New Roman"/>
          <w:sz w:val="19"/>
          <w:szCs w:val="19"/>
          <w:u w:val="single" w:color="auto"/>
          <w:color w:val="auto"/>
        </w:rPr>
        <w:t>Other Requirements</w:t>
      </w:r>
      <w:r>
        <w:rPr>
          <w:rFonts w:ascii="Times New Roman" w:cs="Times New Roman" w:eastAsia="Times New Roman" w:hAnsi="Times New Roman"/>
          <w:sz w:val="19"/>
          <w:szCs w:val="19"/>
          <w:color w:val="auto"/>
        </w:rPr>
        <w:t>. A Covered Employee’s receipt of Severance Benefits pursuant to Section 4 will be subject to such Covered Employee’s continued material compliance with the terms of the Release, the Participation Agreement, the non-disparagement provisions of a separation agreement provided by the Company, and any confidential information agreement, proprietary information and inventions agreement and any other agreement between the Covered Employee and the Company. Severance Benefits under this Plan shall terminate immediately for a Covered Employee, and any previously paid Severance Benefits shall be subject to recoupment by the Company, if such Covered Employee is in material violation, at any time, of any legal or contractual obligation owed to the Company.</w:t>
      </w:r>
    </w:p>
    <w:p>
      <w:pPr>
        <w:spacing w:after="0" w:line="173" w:lineRule="exact"/>
        <w:rPr>
          <w:sz w:val="20"/>
          <w:szCs w:val="20"/>
          <w:color w:val="auto"/>
        </w:rPr>
      </w:pPr>
    </w:p>
    <w:p>
      <w:pPr>
        <w:ind w:right="60" w:firstLine="1497"/>
        <w:spacing w:after="0" w:line="242" w:lineRule="auto"/>
        <w:rPr>
          <w:sz w:val="20"/>
          <w:szCs w:val="20"/>
          <w:color w:val="auto"/>
        </w:rPr>
      </w:pPr>
      <w:r>
        <w:rPr>
          <w:rFonts w:ascii="Times New Roman" w:cs="Times New Roman" w:eastAsia="Times New Roman" w:hAnsi="Times New Roman"/>
          <w:sz w:val="20"/>
          <w:szCs w:val="20"/>
          <w:color w:val="auto"/>
        </w:rPr>
        <w:t xml:space="preserve">5.3. </w:t>
      </w:r>
      <w:r>
        <w:rPr>
          <w:rFonts w:ascii="Times New Roman" w:cs="Times New Roman" w:eastAsia="Times New Roman" w:hAnsi="Times New Roman"/>
          <w:sz w:val="20"/>
          <w:szCs w:val="20"/>
          <w:u w:val="single" w:color="auto"/>
          <w:color w:val="auto"/>
        </w:rPr>
        <w:t>Section 280G</w:t>
      </w:r>
      <w:r>
        <w:rPr>
          <w:rFonts w:ascii="Times New Roman" w:cs="Times New Roman" w:eastAsia="Times New Roman" w:hAnsi="Times New Roman"/>
          <w:sz w:val="20"/>
          <w:szCs w:val="20"/>
          <w:color w:val="auto"/>
        </w:rPr>
        <w:t>. Any provision of the Plan to the contrary notwithstanding, if any payment or benefit a Covered Employee would receive from the Company and its subsidiaries or an acquiror pursuant to the Plan or otherwise (a “</w:t>
      </w:r>
      <w:r>
        <w:rPr>
          <w:rFonts w:ascii="Times New Roman" w:cs="Times New Roman" w:eastAsia="Times New Roman" w:hAnsi="Times New Roman"/>
          <w:sz w:val="20"/>
          <w:szCs w:val="20"/>
          <w:u w:val="single" w:color="auto"/>
          <w:color w:val="auto"/>
        </w:rPr>
        <w:t>Payment</w:t>
      </w:r>
      <w:r>
        <w:rPr>
          <w:rFonts w:ascii="Times New Roman" w:cs="Times New Roman" w:eastAsia="Times New Roman" w:hAnsi="Times New Roman"/>
          <w:sz w:val="20"/>
          <w:szCs w:val="20"/>
          <w:color w:val="auto"/>
        </w:rPr>
        <w:t>”) would (i) constitute a “parachute payment” within the meaning of Section 280G of the Code, and (ii) but for this sentence, be subject to the excise tax imposed by Section 4999 of the Code (the “</w:t>
      </w:r>
      <w:r>
        <w:rPr>
          <w:rFonts w:ascii="Times New Roman" w:cs="Times New Roman" w:eastAsia="Times New Roman" w:hAnsi="Times New Roman"/>
          <w:sz w:val="20"/>
          <w:szCs w:val="20"/>
          <w:u w:val="single" w:color="auto"/>
          <w:color w:val="auto"/>
        </w:rPr>
        <w:t>Excise Tax</w:t>
      </w:r>
      <w:r>
        <w:rPr>
          <w:rFonts w:ascii="Times New Roman" w:cs="Times New Roman" w:eastAsia="Times New Roman" w:hAnsi="Times New Roman"/>
          <w:sz w:val="20"/>
          <w:szCs w:val="20"/>
          <w:color w:val="auto"/>
        </w:rPr>
        <w:t>”), then such Payment will be equal to the Higher Amount. The “</w:t>
      </w:r>
      <w:r>
        <w:rPr>
          <w:rFonts w:ascii="Times New Roman" w:cs="Times New Roman" w:eastAsia="Times New Roman" w:hAnsi="Times New Roman"/>
          <w:sz w:val="20"/>
          <w:szCs w:val="20"/>
          <w:u w:val="single" w:color="auto"/>
          <w:color w:val="auto"/>
        </w:rPr>
        <w:t>Higher Amount</w:t>
      </w:r>
      <w:r>
        <w:rPr>
          <w:rFonts w:ascii="Times New Roman" w:cs="Times New Roman" w:eastAsia="Times New Roman" w:hAnsi="Times New Roman"/>
          <w:sz w:val="20"/>
          <w:szCs w:val="20"/>
          <w:color w:val="auto"/>
        </w:rPr>
        <w:t>” will be either (x) the largest portion of the Payment that would result in no portion of the Payment being subject to the Excise Tax or (y) the largest portion, up to and including the total, of the Payment, whichever amount, after taking into account all applicable federal, state and local employment taxes, income taxes, and the Excise Tax (all computed at the highest applicable marginal rate), results in Covered Employee’s receipt, on an after-tax basis, of the greater economic benefit notwithstanding that all or some portion of the Payment may be subject to the Excise Tax. If a reduction in payments or benefits constituting “parachute payments” within the meaning of Section 280G of the Code is necessary so that the Payment equals the Higher Amount, reduction will occur in the manner that results in the greatest economic benefit for a Covered Employee and, to the extent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1013460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00" w:lineRule="exact"/>
        <w:rPr>
          <w:sz w:val="20"/>
          <w:szCs w:val="20"/>
          <w:color w:val="auto"/>
        </w:rPr>
      </w:pPr>
    </w:p>
    <w:p>
      <w:pPr>
        <w:spacing w:after="0" w:line="237"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complies with Section 409A. In no event will the Company, any subsidiary or any stockholder be liable to any Covered Employee for any amounts not paid as a result of the operation of this Section 5.3. The Company will use commercially reasonable efforts to cause the accounting, law or valuation firm engaged to make the determinations hereunder to provide its calculations, together with detailed supporting documentation, to a Covered Employee and the Company within fifteen (15) calendar days after the date on which such Covered Employee’s right to a Payment is triggered (if requested at that time by such Covered Employee or the Company) or such other time as requested by such Covered Employee or the Company.</w:t>
      </w:r>
    </w:p>
    <w:p>
      <w:pPr>
        <w:spacing w:after="0" w:line="184" w:lineRule="exact"/>
        <w:rPr>
          <w:sz w:val="20"/>
          <w:szCs w:val="20"/>
          <w:color w:val="auto"/>
        </w:rPr>
      </w:pPr>
    </w:p>
    <w:p>
      <w:pPr>
        <w:ind w:right="40" w:firstLine="757"/>
        <w:spacing w:after="0" w:line="241" w:lineRule="auto"/>
        <w:tabs>
          <w:tab w:leader="none" w:pos="1018"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Non-Duplication of Benefits</w:t>
      </w:r>
      <w:r>
        <w:rPr>
          <w:rFonts w:ascii="Times New Roman" w:cs="Times New Roman" w:eastAsia="Times New Roman" w:hAnsi="Times New Roman"/>
          <w:sz w:val="20"/>
          <w:szCs w:val="20"/>
          <w:color w:val="auto"/>
        </w:rPr>
        <w:t>. The Severance Benefits provided to a Covered Employee are intended to be and are exclusive and in lieu of any other change in control severance benefits or payments to which such Covered Employee may otherwise be eligible, either at law, tort, or contract, in equity, or under the Plan, in the event of any termination of such Covered Employee’s employment. The Covered Employee will not be eligible to receive change in control severance benefits or payments upon a termination of employment that constitutes a Covered Termination other than those benefits expressly set forth herein and those benefits required to be provided by applicable law or as negotiated in accordance with applicable law (including any severance benefits that may be included in a severance agreement, employment agreement or similar contract between the Company or a subsidiary of the Company and the Covered Employee). Notwithstanding the foregoing, if a Covered Employee is eligible to any benefits other than the benefits under the Plan by operation of applicable law or as negotiated in accordance with applicable law, such Covered Employee’s benefits under the Plan shall be provided only to the extent more favorable than such other arrangement. The Administrator, in its sole discretion, shall have the authority to reduce or otherwise adjust a Covered Employee’s benefits under the Plan, in whole or in part, by any other severance benefits, pay and benefits in lieu of notice, or other similar benefits payable to such Covered Employee under the Plan that become payable in connection with the Covered Employee’s termination of employment pursuant to (i) any applicable legal requirement, including the Worker Adjustment and Retraining Notification Act (the “</w:t>
      </w:r>
      <w:r>
        <w:rPr>
          <w:rFonts w:ascii="Times New Roman" w:cs="Times New Roman" w:eastAsia="Times New Roman" w:hAnsi="Times New Roman"/>
          <w:sz w:val="20"/>
          <w:szCs w:val="20"/>
          <w:u w:val="single" w:color="auto"/>
          <w:color w:val="auto"/>
        </w:rPr>
        <w:t>WARN Act</w:t>
      </w:r>
      <w:r>
        <w:rPr>
          <w:rFonts w:ascii="Times New Roman" w:cs="Times New Roman" w:eastAsia="Times New Roman" w:hAnsi="Times New Roman"/>
          <w:sz w:val="20"/>
          <w:szCs w:val="20"/>
          <w:color w:val="auto"/>
        </w:rPr>
        <w:t>”), or any other similar state law, or (ii) any policy or practice of the Company providing for the Covered Employee to remain on payroll for a limited period of time after being given notice of termination. The benefits provided under the Plan are intended to satisfy, in whole or in part, any and all statutory obligations of the Company that may arise out of a Covered Employee’s termination of employment, and the Administrator shall so construe and implement the terms of the Plan. In no event shall a Covered Employee receive both Standard Severance Benefits and CIC Severance Benefits hereunder.</w:t>
      </w:r>
    </w:p>
    <w:p>
      <w:pPr>
        <w:spacing w:after="0" w:line="190" w:lineRule="exact"/>
        <w:rPr>
          <w:rFonts w:ascii="Times New Roman" w:cs="Times New Roman" w:eastAsia="Times New Roman" w:hAnsi="Times New Roman"/>
          <w:sz w:val="20"/>
          <w:szCs w:val="20"/>
          <w:color w:val="auto"/>
        </w:rPr>
      </w:pPr>
    </w:p>
    <w:p>
      <w:pPr>
        <w:ind w:right="40" w:firstLine="757"/>
        <w:spacing w:after="0" w:line="243" w:lineRule="auto"/>
        <w:tabs>
          <w:tab w:leader="none" w:pos="1018"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Clawback; Recovery</w:t>
      </w:r>
      <w:r>
        <w:rPr>
          <w:rFonts w:ascii="Times New Roman" w:cs="Times New Roman" w:eastAsia="Times New Roman" w:hAnsi="Times New Roman"/>
          <w:sz w:val="20"/>
          <w:szCs w:val="20"/>
          <w:color w:val="auto"/>
        </w:rPr>
        <w:t>. All payments and Severance Benefits provided under the Plan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In addition, the Administrator may impose such other clawback, recovery or recoupment provisions as the Administrator determines necessary or appropriate, including but not limited to a reacquisition right in respect of previously acquired shares of common stock of the Company or other cash or property upon the occurrence of a termination of employment for Cause. No recovery of compensation under such a clawback policy will be an event giving rise to a right to resign for Good Reason, constructive termination, or any similar term under any plan of or agreement with the Company.</w:t>
      </w:r>
    </w:p>
    <w:p>
      <w:pPr>
        <w:spacing w:after="0" w:line="189" w:lineRule="exact"/>
        <w:rPr>
          <w:rFonts w:ascii="Times New Roman" w:cs="Times New Roman" w:eastAsia="Times New Roman" w:hAnsi="Times New Roman"/>
          <w:sz w:val="20"/>
          <w:szCs w:val="20"/>
          <w:color w:val="auto"/>
        </w:rPr>
      </w:pPr>
    </w:p>
    <w:p>
      <w:pPr>
        <w:ind w:right="300" w:firstLine="757"/>
        <w:spacing w:after="0" w:line="249" w:lineRule="auto"/>
        <w:tabs>
          <w:tab w:leader="none" w:pos="1018"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Notwithstanding anything to the contrary in the Plan, no severance payments or benefits will become payable until the Covered Employee has a “separation from service” within the meaning of Section 409A. Further, if some or all of the Covered Employee’s Severance Benefits are subject to Section 409A and such Covered Employee is a “specified employee” within the meaning of Section 409A at the time of such Covered Employee’s separation from service (other than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1007110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00" w:lineRule="exact"/>
        <w:rPr>
          <w:sz w:val="20"/>
          <w:szCs w:val="20"/>
          <w:color w:val="auto"/>
        </w:rPr>
      </w:pPr>
    </w:p>
    <w:p>
      <w:pPr>
        <w:spacing w:after="0" w:line="237"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20"/>
          <w:szCs w:val="20"/>
          <w:color w:val="auto"/>
        </w:rPr>
        <w:t>to death), then such Severance Benefits otherwise due to such Covered Employee on or within the six-month period following such Covered Employee’s separation from service will accrue during such six-month period and will become payable in a lump sum payment (less applicable withholding taxes) on the date six months and one day following the date of the Covered Employee’s separation from service if necessary to avoid adverse taxation under Section 409A. All subsequent payments, if any, will be payable in accordance with the payment schedule applicable to each payment or benefit. Notwithstanding anything herein to the contrary, if the Covered Employee dies following such Covered Employee’s separation from service but prior to the six-month anniversary of such Covered Employee’s date of separation, then any payments delayed in accordance with this paragraph will be payable in a lump sum (less applicable withholding taxes) to the Covered Employee’s estate as soon as administratively practicable after the date of such Covered Employee’s death and all other benefits will be payable in accordance with the payment schedule applicable to each payment or benefit. Each payment and benefit payable under the Plan is intended to constitute a separate payment for purposes of Section 409A. It is the intent of this Plan to comply with or be exempt from the requirements of Section 409A so that none of the severance payments and benefits to be provided hereunder will be subject to the additional tax imposed under Section 409A, and any ambiguities herein will be interpreted according to such intent. Notwithstanding the foregoing, the Company makes no representations that the payments and benefits provided under the Plan comply with Section 409A, and in no event shall the Company or any of its representatives be liable for all or any portion of any taxes, penalties, interest, or other expenses that may be incurred by the Covered Employee on account of non-compliance with Section 409A.</w:t>
      </w:r>
    </w:p>
    <w:p>
      <w:pPr>
        <w:spacing w:after="0" w:line="194" w:lineRule="exact"/>
        <w:rPr>
          <w:sz w:val="20"/>
          <w:szCs w:val="20"/>
          <w:color w:val="auto"/>
        </w:rPr>
      </w:pPr>
    </w:p>
    <w:p>
      <w:pPr>
        <w:ind w:right="300" w:firstLine="757"/>
        <w:spacing w:after="0" w:line="269" w:lineRule="auto"/>
        <w:tabs>
          <w:tab w:leader="none" w:pos="1018"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Withholding</w:t>
      </w:r>
      <w:r>
        <w:rPr>
          <w:rFonts w:ascii="Times New Roman" w:cs="Times New Roman" w:eastAsia="Times New Roman" w:hAnsi="Times New Roman"/>
          <w:sz w:val="20"/>
          <w:szCs w:val="20"/>
          <w:color w:val="auto"/>
        </w:rPr>
        <w:t>. The Company will withhold from any Severance Benefits all federal, state, local and other taxes required to be withheld therefrom and any other required payroll deductions.</w:t>
      </w:r>
    </w:p>
    <w:p>
      <w:pPr>
        <w:spacing w:after="0" w:line="159" w:lineRule="exact"/>
        <w:rPr>
          <w:rFonts w:ascii="Times New Roman" w:cs="Times New Roman" w:eastAsia="Times New Roman" w:hAnsi="Times New Roman"/>
          <w:sz w:val="20"/>
          <w:szCs w:val="20"/>
          <w:color w:val="auto"/>
        </w:rPr>
      </w:pPr>
    </w:p>
    <w:p>
      <w:pPr>
        <w:ind w:right="80" w:firstLine="757"/>
        <w:spacing w:after="0" w:line="243" w:lineRule="auto"/>
        <w:tabs>
          <w:tab w:leader="none" w:pos="1018"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Administration</w:t>
      </w:r>
      <w:r>
        <w:rPr>
          <w:rFonts w:ascii="Times New Roman" w:cs="Times New Roman" w:eastAsia="Times New Roman" w:hAnsi="Times New Roman"/>
          <w:sz w:val="20"/>
          <w:szCs w:val="20"/>
          <w:color w:val="auto"/>
        </w:rPr>
        <w:t>. The Plan will be administered and interpreted by the Administrator (in the Administrator’s sole discretion). The Administrator is the “named fiduciary” of the Plan for purposes of ERISA and will be subject to the fiduciary standards of ERISA when acting in such capacity. Any decision made or other action taken by the Administrator with respect to the Plan, and any interpretation by the Administrator of any term or condition of the Plan, or any related document, will be conclusive and binding on all persons and be given the maximum possible deference allowed by law. Any decision made or other action taken by the Administrator with respect to the Plan, and any interpretation by the Administrator of any term or condition of the Plan, or any related document that (i) does not affect the benefits payable under the Plan shall not be subject to review unless found to be arbitrary and capricious or (ii) does affect the benefits payable under the Plan shall not be subject to review unless found to be unreasonable or not to have been made in good faith.</w:t>
      </w:r>
    </w:p>
    <w:p>
      <w:pPr>
        <w:spacing w:after="0" w:line="189" w:lineRule="exact"/>
        <w:rPr>
          <w:rFonts w:ascii="Times New Roman" w:cs="Times New Roman" w:eastAsia="Times New Roman" w:hAnsi="Times New Roman"/>
          <w:sz w:val="20"/>
          <w:szCs w:val="20"/>
          <w:color w:val="auto"/>
        </w:rPr>
      </w:pPr>
    </w:p>
    <w:p>
      <w:pPr>
        <w:ind w:firstLine="757"/>
        <w:spacing w:after="0" w:line="246" w:lineRule="auto"/>
        <w:tabs>
          <w:tab w:leader="none" w:pos="1018"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or Termination</w:t>
      </w:r>
      <w:r>
        <w:rPr>
          <w:rFonts w:ascii="Times New Roman" w:cs="Times New Roman" w:eastAsia="Times New Roman" w:hAnsi="Times New Roman"/>
          <w:sz w:val="20"/>
          <w:szCs w:val="20"/>
          <w:color w:val="auto"/>
        </w:rPr>
        <w:t>. The Company, by action of the Administrator, reserves the right to amend or terminate the Plan at any time, without advance notice to any Covered Employee and without regard to the effect of the amendment or termination on any Covered Employee or on any other individual. Any amendment or termination of the Plan will be in writing. Notwithstanding the foregoing, a Covered Employee’s rights to receive payments and benefits pursuant to this Plan under an effective Participation Agreement may not be adversely affected, without the Covered Employee’s written consent, by an amendment or termination of this Plan.</w:t>
      </w:r>
    </w:p>
    <w:p>
      <w:pPr>
        <w:spacing w:after="0" w:line="184" w:lineRule="exact"/>
        <w:rPr>
          <w:rFonts w:ascii="Times New Roman" w:cs="Times New Roman" w:eastAsia="Times New Roman" w:hAnsi="Times New Roman"/>
          <w:sz w:val="20"/>
          <w:szCs w:val="20"/>
          <w:color w:val="auto"/>
        </w:rPr>
      </w:pPr>
    </w:p>
    <w:p>
      <w:pPr>
        <w:ind w:right="40" w:firstLine="757"/>
        <w:spacing w:after="0" w:line="245" w:lineRule="auto"/>
        <w:tabs>
          <w:tab w:leader="none" w:pos="1018"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Claims Procedure</w:t>
      </w:r>
      <w:r>
        <w:rPr>
          <w:rFonts w:ascii="Times New Roman" w:cs="Times New Roman" w:eastAsia="Times New Roman" w:hAnsi="Times New Roman"/>
          <w:sz w:val="20"/>
          <w:szCs w:val="20"/>
          <w:color w:val="auto"/>
        </w:rPr>
        <w:t>. Claims for benefits under the Plan shall be administered in accordance with Section 503 of ERISA and the Department of Labor Regulations thereunder. Any employee or other person who believes they are entitled to any payment under the Plan (a “</w:t>
      </w:r>
      <w:r>
        <w:rPr>
          <w:rFonts w:ascii="Times New Roman" w:cs="Times New Roman" w:eastAsia="Times New Roman" w:hAnsi="Times New Roman"/>
          <w:sz w:val="20"/>
          <w:szCs w:val="20"/>
          <w:u w:val="single" w:color="auto"/>
          <w:color w:val="auto"/>
        </w:rPr>
        <w:t>claimant</w:t>
      </w:r>
      <w:r>
        <w:rPr>
          <w:rFonts w:ascii="Times New Roman" w:cs="Times New Roman" w:eastAsia="Times New Roman" w:hAnsi="Times New Roman"/>
          <w:sz w:val="20"/>
          <w:szCs w:val="20"/>
          <w:color w:val="auto"/>
        </w:rPr>
        <w:t>”) may submit a claim in writing to the Administrator within ninety (90) days of the earlier of (i) the date the claimant learned the amount of such claimant’s Severance Benefits under the Plan or (ii) the date the claimant learned that they will not be eligible to any benefits under the Plan. In determining claims for benefits, the Administrator or its delegate has the authority to interpret the Plan, to resolve ambiguities,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00" w:lineRule="exact"/>
        <w:rPr>
          <w:sz w:val="20"/>
          <w:szCs w:val="20"/>
          <w:color w:val="auto"/>
        </w:rPr>
      </w:pPr>
    </w:p>
    <w:p>
      <w:pPr>
        <w:spacing w:after="0" w:line="237"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20"/>
          <w:szCs w:val="20"/>
          <w:color w:val="auto"/>
        </w:rPr>
        <w:t>make factual determinations, and to resolve questions relating to eligibility for and amount of benefits. If the claim is denied (in full or in part), the claimant will be provided a written notice explaining the specific reasons for the denial and referring to the provisions of the Plan on which the denial is based. The notice will also describe any additional information or material that the Administrator needs to complete the review and an explanation of why such information or material is necessary and the Plan’s procedures for appealing the denial (including a statement of the applicant’s right to bring a civil action under Section 502(a) of ERISA following a denial on review of the claim, as described below). The denial notice will be provided within ninety (90) days after the claim is received. If special circumstances require an extension of time (up to 90 days), written notice of the extension will be given to the claimant (or representative) within the initial 90-day period. This notice of extension will indicate the special circumstances requiring the extension of time and the date by which the Administrator expects to render its decision on the claim. If the extension is provided due to a claimant’s failure to provide sufficient information, the time frame for rendering the decision will be tolled from the date the notification is sent to the claimant about the failure to the date on which the claimant responds to the request for additional information. The Administrator has delegated the claims review responsibility to the Company’s Chief Financial Officer or such other individual designated by the Administrator, except in the case of a claim filed by or on behalf of the Company’s Chief Financial Officer or such other individual designated by the Administrator, in which case, the claim will be reviewed by the Company’s Chief Executive Officer.</w:t>
      </w:r>
    </w:p>
    <w:p>
      <w:pPr>
        <w:spacing w:after="0" w:line="196" w:lineRule="exact"/>
        <w:rPr>
          <w:sz w:val="20"/>
          <w:szCs w:val="20"/>
          <w:color w:val="auto"/>
        </w:rPr>
      </w:pPr>
    </w:p>
    <w:p>
      <w:pPr>
        <w:ind w:firstLine="757"/>
        <w:spacing w:after="0"/>
        <w:tabs>
          <w:tab w:leader="none" w:pos="1018"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Appeal Procedure</w:t>
      </w:r>
      <w:r>
        <w:rPr>
          <w:rFonts w:ascii="Times New Roman" w:cs="Times New Roman" w:eastAsia="Times New Roman" w:hAnsi="Times New Roman"/>
          <w:sz w:val="20"/>
          <w:szCs w:val="20"/>
          <w:color w:val="auto"/>
        </w:rPr>
        <w:t>. If the claimant’s claim is denied, the claimant (or such claimant’s authorized representative) may apply in writing to an appeals official appointed by the Administrator (which may be a person, committee or other entity) for a review of the decision denying the claim. Review must be requested within sixty (60) days following the date the claimant received the written notice of a claim denial or else the claimant will lose the right to such review. A request for review must set forth all the grounds on which such request is based, all facts in support of the request, and any other matters that the claimant feels are pertinent. In connection with the request for review, the claimant (or representative) has the right to review and obtain copies of all documents and other information relevant to the claim, upon request and at no charge, and to submit written comments, documents, records and other information relating to such claimant’s claim. The review shall take into account all comments, documents, records and other information submitted by the claimant (or representative) relating to the claim, without regard to whether such information was submitted or considered in the initial benefit determination. The appeals official will provide written notice of its decision on review within 60 days after it receives a review request. If special circumstances require an extension of time (up to 60 days), written notice of the extension will be given to the claimant (or representative) within the initial 60-day period. This notice of extension will indicate the special circumstances requiring the extension of time and the date by which the appeals official expects to render its decision. If the extension is provided due to a claimant’s failure to provide sufficient information, the time frame for rendering the decision on review is tolled from the date the notification is sent to the claimant about the failure to the date on which the claimant responds to the request for additional information. If the claim is denied (in full or in part) upon review, the claimant will be provided a written notice explaining the specific reasons for the denial and referring to the provisions of the Plan on which the denial is based. The notice shall also include a statement that the claimant will be provided, upon request and free of charge, reasonable access to, and copies of, all documents and other information relevant to the claim and a statement regarding the claimant’s right to bring an action under Section 502(a) of ERISA. The Administrator has delegated the appeals review responsibility to the Company’s Chief Financial Officer, except in the case of an appeal filed by or on behalf of the Company’s Chief Financial Officer, in which case, the appeal will be reviewed by the Company’s Chief Executive Officer.</w:t>
      </w:r>
    </w:p>
    <w:p>
      <w:pPr>
        <w:spacing w:after="0" w:line="205" w:lineRule="exact"/>
        <w:rPr>
          <w:rFonts w:ascii="Times New Roman" w:cs="Times New Roman" w:eastAsia="Times New Roman" w:hAnsi="Times New Roman"/>
          <w:sz w:val="20"/>
          <w:szCs w:val="20"/>
          <w:color w:val="auto"/>
        </w:rPr>
      </w:pPr>
    </w:p>
    <w:p>
      <w:pPr>
        <w:jc w:val="both"/>
        <w:ind w:right="100" w:firstLine="757"/>
        <w:spacing w:after="0" w:line="254" w:lineRule="auto"/>
        <w:tabs>
          <w:tab w:leader="none" w:pos="1018"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Arbitration</w:t>
      </w:r>
      <w:r>
        <w:rPr>
          <w:rFonts w:ascii="Times New Roman" w:cs="Times New Roman" w:eastAsia="Times New Roman" w:hAnsi="Times New Roman"/>
          <w:sz w:val="20"/>
          <w:szCs w:val="20"/>
          <w:color w:val="auto"/>
        </w:rPr>
        <w:t>. No arbitration proceeding shall be brought to recover benefits under the Plan until the claims procedures described in Sections 12 and 13 have been exhausted and the Plan benefits requested have been denied in whole or in part. Notwithstanding any other provision of the Plan,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1003935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ensure the timely and economical resolution of disputes, all disputes, claims, or causes of action arising from or relating to the enforcement, breach, performance or interpretation of this Plan, and any related Participation Agreement, will be resolved to the fullest extent permitted by law by final, binding and confidential arbitration, by a single arbitrator, in the Commonwealth of Massachusetts, conducted by JAMS, Inc. (“</w:t>
      </w:r>
      <w:r>
        <w:rPr>
          <w:rFonts w:ascii="Times New Roman" w:cs="Times New Roman" w:eastAsia="Times New Roman" w:hAnsi="Times New Roman"/>
          <w:sz w:val="20"/>
          <w:szCs w:val="20"/>
          <w:u w:val="single" w:color="auto"/>
          <w:color w:val="auto"/>
        </w:rPr>
        <w:t>JAMS</w:t>
      </w:r>
      <w:r>
        <w:rPr>
          <w:rFonts w:ascii="Times New Roman" w:cs="Times New Roman" w:eastAsia="Times New Roman" w:hAnsi="Times New Roman"/>
          <w:sz w:val="20"/>
          <w:szCs w:val="20"/>
          <w:color w:val="auto"/>
        </w:rPr>
        <w:t>”) under the then-applicable JAMS rules (currently available at the following web address: https://www.jamsadr.com/rules-employment). By agreeing to this arbitration procedure, each Covered Employee and the Company waive the right to resolve any such dispute through a trial by jury or judge or administrative proceeding. Covered Employees will have the right to be represented by legal counsel at any arbitration proceeding. In addition, all claims, disputes, or causes of action under this Section, whether by a Covered Employee or the Company, must be brought in 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regarding class claims or proceedings are found to violate applicable law or are otherwise found unenforceable, any claim(s) alleged or brought on behalf of a class shall proceed in a court of law rather than by arbitration. This paragraph shall not apply to any action or claim that cannot be subject to mandatory arbitration as a matter of law or any claims alleging sexual harassment or a nonconsensual sexual action or sexual contact, to the extent such claims are not permitted by applicable law(s) to be submitted to mandatory arbitration and the applicable law(s) are not preempted by the Federal Arbitration Act or otherwise invalid (collectively, the “Excluded Claims”). The arbitrator shall: (a) have the authority to compel adequate discovery for the resolution of the dispute and to award such relief as would otherwise be permitted by law; and (b) issue a written arbitration decision, to include the arbitrator’s essential findings and conclusions and a statement of the award. The arbitrator shall be authorized to award any or all remedies that a Covered Employee or the Company would be eligible to seek in a court of law. The Company shall pay all JAMS’ arbitration fees in excess of the amount of court fees that would be required of a Covered Employee if the dispute were decided in a court of law. Nothing in this paragraph is intended to prevent either a Covered Employee or the Company from obtaining injunctive relief in court to prevent irreparable harm pending the conclusion of any such arbitration. Any awards or orders in such arbitrations may be entered and enforced as judgments in the federal and state courts of any competent jurisdiction. Any arbitration must be commenced within one year after the Covered Employee’s receipt of notification that their appeal was denied. The foregoing provisions shall apply to the extent consistent with and permitted by ERISA.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936625</wp:posOffset>
            </wp:positionH>
            <wp:positionV relativeFrom="paragraph">
              <wp:posOffset>-1329690</wp:posOffset>
            </wp:positionV>
            <wp:extent cx="86169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6">
                      <a:extLst>
                        <a:ext uri="{28A0092B-C50C-407E-A947-70E740481C1C}"/>
                      </a:extLst>
                    </a:blip>
                    <a:srcRect/>
                    <a:stretch>
                      <a:fillRect/>
                    </a:stretch>
                  </pic:blipFill>
                  <pic:spPr bwMode="auto">
                    <a:xfrm>
                      <a:off x="0" y="0"/>
                      <a:ext cx="861695" cy="8890"/>
                    </a:xfrm>
                    <a:prstGeom prst="rect">
                      <a:avLst/>
                    </a:prstGeom>
                    <a:noFill/>
                  </pic:spPr>
                </pic:pic>
              </a:graphicData>
            </a:graphic>
          </wp:anchor>
        </w:drawing>
      </w:r>
    </w:p>
    <w:p>
      <w:pPr>
        <w:spacing w:after="0" w:line="184" w:lineRule="exact"/>
        <w:rPr>
          <w:sz w:val="20"/>
          <w:szCs w:val="20"/>
          <w:color w:val="auto"/>
        </w:rPr>
      </w:pPr>
    </w:p>
    <w:p>
      <w:pPr>
        <w:ind w:right="140" w:firstLine="757"/>
        <w:spacing w:after="0" w:line="254" w:lineRule="auto"/>
        <w:tabs>
          <w:tab w:leader="none" w:pos="1018"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Source of Payments</w:t>
      </w:r>
      <w:r>
        <w:rPr>
          <w:rFonts w:ascii="Times New Roman" w:cs="Times New Roman" w:eastAsia="Times New Roman" w:hAnsi="Times New Roman"/>
          <w:sz w:val="20"/>
          <w:szCs w:val="20"/>
          <w:color w:val="auto"/>
        </w:rPr>
        <w:t>. All Severance Benefits will be paid in cash from the general funds of the Company; no separate fund will be established under the Plan; and the Plan will have no assets. No right of any person to receive any payment under the Plan will be any greater than the right of any other general unsecured creditor of the Company.</w:t>
      </w:r>
    </w:p>
    <w:p>
      <w:pPr>
        <w:spacing w:after="0" w:line="174" w:lineRule="exact"/>
        <w:rPr>
          <w:rFonts w:ascii="Times New Roman" w:cs="Times New Roman" w:eastAsia="Times New Roman" w:hAnsi="Times New Roman"/>
          <w:sz w:val="20"/>
          <w:szCs w:val="20"/>
          <w:color w:val="auto"/>
        </w:rPr>
      </w:pPr>
    </w:p>
    <w:p>
      <w:pPr>
        <w:ind w:right="60" w:firstLine="757"/>
        <w:spacing w:after="0" w:line="254" w:lineRule="auto"/>
        <w:tabs>
          <w:tab w:leader="none" w:pos="1018"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Inalienability</w:t>
      </w:r>
      <w:r>
        <w:rPr>
          <w:rFonts w:ascii="Times New Roman" w:cs="Times New Roman" w:eastAsia="Times New Roman" w:hAnsi="Times New Roman"/>
          <w:sz w:val="20"/>
          <w:szCs w:val="20"/>
          <w:color w:val="auto"/>
        </w:rPr>
        <w:t>. In no event may any current or former employee of the Company or any of its subsidiaries or affiliates sell, transfer, anticipate, assign or otherwise dispose of any right or interest under the Plan. At no time will any such right or interest be subject to the claims of creditors nor liable to attachment, execution or other legal process.</w:t>
      </w:r>
    </w:p>
    <w:p>
      <w:pPr>
        <w:spacing w:after="0" w:line="174" w:lineRule="exact"/>
        <w:rPr>
          <w:rFonts w:ascii="Times New Roman" w:cs="Times New Roman" w:eastAsia="Times New Roman" w:hAnsi="Times New Roman"/>
          <w:sz w:val="20"/>
          <w:szCs w:val="20"/>
          <w:color w:val="auto"/>
        </w:rPr>
      </w:pPr>
    </w:p>
    <w:p>
      <w:pPr>
        <w:ind w:right="80" w:firstLine="757"/>
        <w:spacing w:after="0" w:line="246" w:lineRule="auto"/>
        <w:tabs>
          <w:tab w:leader="none" w:pos="1018"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Enlargement of Employment Rights</w:t>
      </w:r>
      <w:r>
        <w:rPr>
          <w:rFonts w:ascii="Times New Roman" w:cs="Times New Roman" w:eastAsia="Times New Roman" w:hAnsi="Times New Roman"/>
          <w:sz w:val="20"/>
          <w:szCs w:val="20"/>
          <w:color w:val="auto"/>
        </w:rPr>
        <w:t>. Neither the establishment nor maintenance of the Plan, any amendment of the Plan, nor the making of any benefit payment hereunder, will be construed to confer upon any individual any right to be continued as an employee of the Company. The Company expressly reserves the right to discharge any of its employees at any time, with or without Cause. However, as described in the Plan, a Covered Employee may be eligible to benefits under the Plan depending upon the circumstances of such Covered Employee’s termination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00" w:lineRule="exact"/>
        <w:rPr>
          <w:sz w:val="20"/>
          <w:szCs w:val="20"/>
          <w:color w:val="auto"/>
        </w:rPr>
      </w:pPr>
    </w:p>
    <w:p>
      <w:pPr>
        <w:spacing w:after="0" w:line="237" w:lineRule="exact"/>
        <w:rPr>
          <w:sz w:val="20"/>
          <w:szCs w:val="20"/>
          <w:color w:val="auto"/>
        </w:rPr>
      </w:pPr>
    </w:p>
    <w:p>
      <w:pPr>
        <w:ind w:right="60" w:firstLine="757"/>
        <w:spacing w:after="0" w:line="246" w:lineRule="auto"/>
        <w:tabs>
          <w:tab w:leader="none" w:pos="1018"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w:t>
      </w:r>
      <w:r>
        <w:rPr>
          <w:rFonts w:ascii="Times New Roman" w:cs="Times New Roman" w:eastAsia="Times New Roman" w:hAnsi="Times New Roman"/>
          <w:sz w:val="20"/>
          <w:szCs w:val="20"/>
          <w:color w:val="auto"/>
        </w:rPr>
        <w:t>. Any successor to the Company of all or substantially all of the Company’s business or assets (whether direct or indirect and whether by purchase, merger, consolidation, liquidation or otherwise) will assume the obligations under the Plan and agree expressly to perform the obligations under the Plan in the same manner and to the same extent as the Company would be required to perform such obligations in the absence of a succession. For all purposes under the Plan, the term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will include any successor to the Company’s business or assets which become bound by the terms of the Plan by operation of law, or otherwise.</w:t>
      </w:r>
    </w:p>
    <w:p>
      <w:pPr>
        <w:spacing w:after="0" w:line="184" w:lineRule="exact"/>
        <w:rPr>
          <w:rFonts w:ascii="Times New Roman" w:cs="Times New Roman" w:eastAsia="Times New Roman" w:hAnsi="Times New Roman"/>
          <w:sz w:val="20"/>
          <w:szCs w:val="20"/>
          <w:color w:val="auto"/>
        </w:rPr>
      </w:pPr>
    </w:p>
    <w:p>
      <w:pPr>
        <w:ind w:right="60" w:firstLine="757"/>
        <w:spacing w:after="0" w:line="269" w:lineRule="auto"/>
        <w:tabs>
          <w:tab w:leader="none" w:pos="1018"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Applicable Law</w:t>
      </w:r>
      <w:r>
        <w:rPr>
          <w:rFonts w:ascii="Times New Roman" w:cs="Times New Roman" w:eastAsia="Times New Roman" w:hAnsi="Times New Roman"/>
          <w:sz w:val="20"/>
          <w:szCs w:val="20"/>
          <w:color w:val="auto"/>
        </w:rPr>
        <w:t>. The provisions of the Plan will be construed, administered and enforced in accordance with ERISA and, to the extent applicable, the internal substantive laws of the Commonwealth of Massachusetts (except its conflict of laws provisions).</w:t>
      </w:r>
    </w:p>
    <w:p>
      <w:pPr>
        <w:spacing w:after="0" w:line="159" w:lineRule="exact"/>
        <w:rPr>
          <w:rFonts w:ascii="Times New Roman" w:cs="Times New Roman" w:eastAsia="Times New Roman" w:hAnsi="Times New Roman"/>
          <w:sz w:val="20"/>
          <w:szCs w:val="20"/>
          <w:color w:val="auto"/>
        </w:rPr>
      </w:pPr>
    </w:p>
    <w:p>
      <w:pPr>
        <w:ind w:right="240" w:firstLine="757"/>
        <w:spacing w:after="0" w:line="269" w:lineRule="auto"/>
        <w:tabs>
          <w:tab w:leader="none" w:pos="1018"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If any provision of the Plan is held invalid or unenforceable, its invalidity or unenforceability will not affect any other provision of the Plan, and the Plan will be construed and enforced as if such provision had not been included.</w:t>
      </w:r>
    </w:p>
    <w:p>
      <w:pPr>
        <w:spacing w:after="0" w:line="159"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Headings in this Plan document are for purposes of reference only and will not limit or otherwise affect the meaning</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hereof.</w:t>
      </w:r>
    </w:p>
    <w:p>
      <w:pPr>
        <w:spacing w:after="0" w:line="193"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Information</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7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Plan Name:</w:t>
            </w:r>
          </w:p>
        </w:tc>
        <w:tc>
          <w:tcPr>
            <w:tcW w:w="84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Sensei Biotherapeutics, Inc. Severance Plan</w:t>
            </w:r>
          </w:p>
        </w:tc>
      </w:tr>
      <w:tr>
        <w:trPr>
          <w:trHeight w:val="430"/>
        </w:trPr>
        <w:tc>
          <w:tcPr>
            <w:tcW w:w="27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Plan Sponsor:</w:t>
            </w:r>
          </w:p>
        </w:tc>
        <w:tc>
          <w:tcPr>
            <w:tcW w:w="84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Sensei Biotherapeutics, Inc.</w:t>
            </w:r>
          </w:p>
        </w:tc>
      </w:tr>
      <w:tr>
        <w:trPr>
          <w:trHeight w:val="229"/>
        </w:trPr>
        <w:tc>
          <w:tcPr>
            <w:tcW w:w="2760" w:type="dxa"/>
            <w:vAlign w:val="bottom"/>
          </w:tcPr>
          <w:p>
            <w:pPr>
              <w:spacing w:after="0"/>
              <w:rPr>
                <w:sz w:val="19"/>
                <w:szCs w:val="19"/>
                <w:color w:val="auto"/>
              </w:rPr>
            </w:pPr>
          </w:p>
        </w:tc>
        <w:tc>
          <w:tcPr>
            <w:tcW w:w="84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1405 Research Boulevard, Suite 125</w:t>
            </w:r>
          </w:p>
        </w:tc>
      </w:tr>
      <w:tr>
        <w:trPr>
          <w:trHeight w:val="258"/>
        </w:trPr>
        <w:tc>
          <w:tcPr>
            <w:tcW w:w="2760" w:type="dxa"/>
            <w:vAlign w:val="bottom"/>
          </w:tcPr>
          <w:p>
            <w:pPr>
              <w:spacing w:after="0"/>
              <w:rPr>
                <w:sz w:val="22"/>
                <w:szCs w:val="22"/>
                <w:color w:val="auto"/>
              </w:rPr>
            </w:pPr>
          </w:p>
        </w:tc>
        <w:tc>
          <w:tcPr>
            <w:tcW w:w="84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Rockville, MD 20850</w:t>
            </w:r>
          </w:p>
        </w:tc>
      </w:tr>
      <w:tr>
        <w:trPr>
          <w:trHeight w:val="430"/>
        </w:trPr>
        <w:tc>
          <w:tcPr>
            <w:tcW w:w="27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Identification Numbers:</w:t>
            </w:r>
          </w:p>
        </w:tc>
        <w:tc>
          <w:tcPr>
            <w:tcW w:w="84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EIN: 52-2166155</w:t>
            </w:r>
          </w:p>
        </w:tc>
      </w:tr>
      <w:tr>
        <w:trPr>
          <w:trHeight w:val="258"/>
        </w:trPr>
        <w:tc>
          <w:tcPr>
            <w:tcW w:w="2760" w:type="dxa"/>
            <w:vAlign w:val="bottom"/>
          </w:tcPr>
          <w:p>
            <w:pPr>
              <w:spacing w:after="0"/>
              <w:rPr>
                <w:sz w:val="22"/>
                <w:szCs w:val="22"/>
                <w:color w:val="auto"/>
              </w:rPr>
            </w:pPr>
          </w:p>
        </w:tc>
        <w:tc>
          <w:tcPr>
            <w:tcW w:w="84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PLAN NUMBER:</w:t>
            </w:r>
          </w:p>
        </w:tc>
      </w:tr>
      <w:tr>
        <w:trPr>
          <w:trHeight w:val="459"/>
        </w:trPr>
        <w:tc>
          <w:tcPr>
            <w:tcW w:w="27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Plan Year:</w:t>
            </w:r>
          </w:p>
        </w:tc>
        <w:tc>
          <w:tcPr>
            <w:tcW w:w="84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Fiscal year ending December 31</w:t>
            </w:r>
          </w:p>
        </w:tc>
      </w:tr>
      <w:tr>
        <w:trPr>
          <w:trHeight w:val="430"/>
        </w:trPr>
        <w:tc>
          <w:tcPr>
            <w:tcW w:w="27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Plan Administrator:</w:t>
            </w:r>
          </w:p>
        </w:tc>
        <w:tc>
          <w:tcPr>
            <w:tcW w:w="84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Sensei Biotherapeutics, Inc.</w:t>
            </w:r>
          </w:p>
        </w:tc>
      </w:tr>
      <w:tr>
        <w:trPr>
          <w:trHeight w:val="229"/>
        </w:trPr>
        <w:tc>
          <w:tcPr>
            <w:tcW w:w="2760" w:type="dxa"/>
            <w:vAlign w:val="bottom"/>
          </w:tcPr>
          <w:p>
            <w:pPr>
              <w:spacing w:after="0"/>
              <w:rPr>
                <w:sz w:val="19"/>
                <w:szCs w:val="19"/>
                <w:color w:val="auto"/>
              </w:rPr>
            </w:pPr>
          </w:p>
        </w:tc>
        <w:tc>
          <w:tcPr>
            <w:tcW w:w="84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Attention: Administrator of the Sensei Biotherapeutics, Inc. Severance Plan</w:t>
            </w:r>
          </w:p>
        </w:tc>
      </w:tr>
      <w:tr>
        <w:trPr>
          <w:trHeight w:val="230"/>
        </w:trPr>
        <w:tc>
          <w:tcPr>
            <w:tcW w:w="2760" w:type="dxa"/>
            <w:vAlign w:val="bottom"/>
          </w:tcPr>
          <w:p>
            <w:pPr>
              <w:spacing w:after="0"/>
              <w:rPr>
                <w:sz w:val="19"/>
                <w:szCs w:val="19"/>
                <w:color w:val="auto"/>
              </w:rPr>
            </w:pPr>
          </w:p>
        </w:tc>
        <w:tc>
          <w:tcPr>
            <w:tcW w:w="84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1405 Research Boulevard, Suite 125</w:t>
            </w:r>
          </w:p>
        </w:tc>
      </w:tr>
      <w:tr>
        <w:trPr>
          <w:trHeight w:val="258"/>
        </w:trPr>
        <w:tc>
          <w:tcPr>
            <w:tcW w:w="2760" w:type="dxa"/>
            <w:vAlign w:val="bottom"/>
          </w:tcPr>
          <w:p>
            <w:pPr>
              <w:spacing w:after="0"/>
              <w:rPr>
                <w:sz w:val="22"/>
                <w:szCs w:val="22"/>
                <w:color w:val="auto"/>
              </w:rPr>
            </w:pPr>
          </w:p>
        </w:tc>
        <w:tc>
          <w:tcPr>
            <w:tcW w:w="84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Rockville, MD 20850</w:t>
            </w:r>
          </w:p>
        </w:tc>
      </w:tr>
      <w:tr>
        <w:trPr>
          <w:trHeight w:val="430"/>
        </w:trPr>
        <w:tc>
          <w:tcPr>
            <w:tcW w:w="27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Agent for Service of</w:t>
            </w:r>
          </w:p>
        </w:tc>
        <w:tc>
          <w:tcPr>
            <w:tcW w:w="84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Sensei Biotherapeutics, Inc.</w:t>
            </w:r>
          </w:p>
        </w:tc>
      </w:tr>
      <w:tr>
        <w:trPr>
          <w:trHeight w:val="258"/>
        </w:trPr>
        <w:tc>
          <w:tcPr>
            <w:tcW w:w="27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Legal Process:</w:t>
            </w:r>
          </w:p>
        </w:tc>
        <w:tc>
          <w:tcPr>
            <w:tcW w:w="84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Attention: Administrator of the Sensei Biotherapeutics, Inc. Severance Plan</w:t>
            </w:r>
          </w:p>
        </w:tc>
      </w:tr>
      <w:tr>
        <w:trPr>
          <w:trHeight w:val="459"/>
        </w:trPr>
        <w:tc>
          <w:tcPr>
            <w:tcW w:w="2760" w:type="dxa"/>
            <w:vAlign w:val="bottom"/>
          </w:tcPr>
          <w:p>
            <w:pPr>
              <w:spacing w:after="0"/>
              <w:rPr>
                <w:sz w:val="24"/>
                <w:szCs w:val="24"/>
                <w:color w:val="auto"/>
              </w:rPr>
            </w:pPr>
          </w:p>
        </w:tc>
        <w:tc>
          <w:tcPr>
            <w:tcW w:w="84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Service of process may also be made upon the Administrator.</w:t>
            </w:r>
          </w:p>
        </w:tc>
      </w:tr>
      <w:tr>
        <w:trPr>
          <w:trHeight w:val="459"/>
        </w:trPr>
        <w:tc>
          <w:tcPr>
            <w:tcW w:w="27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Type of Plan:</w:t>
            </w:r>
          </w:p>
        </w:tc>
        <w:tc>
          <w:tcPr>
            <w:tcW w:w="84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Severance Plan/Employee Welfare Benefit Plan</w:t>
            </w:r>
          </w:p>
        </w:tc>
      </w:tr>
      <w:tr>
        <w:trPr>
          <w:trHeight w:val="459"/>
        </w:trPr>
        <w:tc>
          <w:tcPr>
            <w:tcW w:w="27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Plan Costs:</w:t>
            </w:r>
          </w:p>
        </w:tc>
        <w:tc>
          <w:tcPr>
            <w:tcW w:w="84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The cost of the Plan is paid by the Company.</w:t>
            </w:r>
          </w:p>
        </w:tc>
      </w:tr>
      <w:tr>
        <w:trPr>
          <w:trHeight w:val="1634"/>
        </w:trPr>
        <w:tc>
          <w:tcPr>
            <w:tcW w:w="2760" w:type="dxa"/>
            <w:vAlign w:val="bottom"/>
            <w:tcBorders>
              <w:bottom w:val="single" w:sz="8" w:color="9A9A9A"/>
            </w:tcBorders>
          </w:tcPr>
          <w:p>
            <w:pPr>
              <w:spacing w:after="0"/>
              <w:rPr>
                <w:sz w:val="24"/>
                <w:szCs w:val="24"/>
                <w:color w:val="auto"/>
              </w:rPr>
            </w:pPr>
          </w:p>
        </w:tc>
        <w:tc>
          <w:tcPr>
            <w:tcW w:w="8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00" w:lineRule="exact"/>
        <w:rPr>
          <w:sz w:val="20"/>
          <w:szCs w:val="20"/>
          <w:color w:val="auto"/>
        </w:rPr>
      </w:pPr>
    </w:p>
    <w:p>
      <w:pPr>
        <w:spacing w:after="0" w:line="237" w:lineRule="exact"/>
        <w:rPr>
          <w:sz w:val="20"/>
          <w:szCs w:val="20"/>
          <w:color w:val="auto"/>
        </w:rPr>
      </w:pPr>
    </w:p>
    <w:p>
      <w:pPr>
        <w:ind w:left="1020" w:hanging="263"/>
        <w:spacing w:after="0"/>
        <w:tabs>
          <w:tab w:leader="none" w:pos="102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Statement of ERISA Rights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color w:val="auto"/>
        </w:rPr>
        <w:t>As a Covered Employee under the Plan, you have certain rights and protections under ERISA:</w:t>
      </w:r>
    </w:p>
    <w:p>
      <w:pPr>
        <w:spacing w:after="0" w:line="108" w:lineRule="exact"/>
        <w:rPr>
          <w:sz w:val="20"/>
          <w:szCs w:val="20"/>
          <w:color w:val="auto"/>
        </w:rPr>
      </w:pPr>
    </w:p>
    <w:p>
      <w:pPr>
        <w:jc w:val="both"/>
        <w:ind w:right="160" w:firstLine="1422"/>
        <w:spacing w:after="0" w:line="295" w:lineRule="auto"/>
        <w:tabs>
          <w:tab w:leader="none" w:pos="1810"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You may examine (without charge) all Plan documents, including any amendments and copies of all documents filed with the U.S. Department of Labor. These documents are available for your review in the office of the Company’s Chief Financial Officer.</w:t>
      </w:r>
    </w:p>
    <w:p>
      <w:pPr>
        <w:spacing w:after="0" w:line="29" w:lineRule="exact"/>
        <w:rPr>
          <w:rFonts w:ascii="Times New Roman" w:cs="Times New Roman" w:eastAsia="Times New Roman" w:hAnsi="Times New Roman"/>
          <w:sz w:val="19"/>
          <w:szCs w:val="19"/>
          <w:color w:val="auto"/>
        </w:rPr>
      </w:pPr>
    </w:p>
    <w:p>
      <w:pPr>
        <w:ind w:right="20" w:firstLine="1422"/>
        <w:spacing w:after="0" w:line="269" w:lineRule="auto"/>
        <w:tabs>
          <w:tab w:leader="none" w:pos="181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may obtain copies of all Plan documents and other Plan information upon written request to the Administrator. A reasonable charge may be made for such copies.</w:t>
      </w:r>
    </w:p>
    <w:p>
      <w:pPr>
        <w:spacing w:after="0" w:line="159" w:lineRule="exact"/>
        <w:rPr>
          <w:sz w:val="20"/>
          <w:szCs w:val="20"/>
          <w:color w:val="auto"/>
        </w:rPr>
      </w:pPr>
    </w:p>
    <w:p>
      <w:pPr>
        <w:ind w:right="80" w:firstLine="905"/>
        <w:spacing w:after="0" w:line="260" w:lineRule="auto"/>
        <w:rPr>
          <w:sz w:val="20"/>
          <w:szCs w:val="20"/>
          <w:color w:val="auto"/>
        </w:rPr>
      </w:pPr>
      <w:r>
        <w:rPr>
          <w:rFonts w:ascii="Times New Roman" w:cs="Times New Roman" w:eastAsia="Times New Roman" w:hAnsi="Times New Roman"/>
          <w:sz w:val="19"/>
          <w:szCs w:val="19"/>
          <w:color w:val="auto"/>
        </w:rPr>
        <w:t>In addition to creating rights for Covered Employees, ERISA imposes duties upon the people who are responsible for the operation of the Plan. The people who operate the Plan (called “</w:t>
      </w:r>
      <w:r>
        <w:rPr>
          <w:rFonts w:ascii="Times New Roman" w:cs="Times New Roman" w:eastAsia="Times New Roman" w:hAnsi="Times New Roman"/>
          <w:sz w:val="19"/>
          <w:szCs w:val="19"/>
          <w:u w:val="single" w:color="auto"/>
          <w:color w:val="auto"/>
        </w:rPr>
        <w:t>fiduciaries</w:t>
      </w:r>
      <w:r>
        <w:rPr>
          <w:rFonts w:ascii="Times New Roman" w:cs="Times New Roman" w:eastAsia="Times New Roman" w:hAnsi="Times New Roman"/>
          <w:sz w:val="19"/>
          <w:szCs w:val="19"/>
          <w:color w:val="auto"/>
        </w:rPr>
        <w:t>”) have a duty to do so prudently and in the interests of you and the other Covered Employees. No one, including the Company or any other person, may fire you or otherwise discriminate against you in any way to prevent you from obtaining a benefit under the Plan or exercising your rights under ERISA. If your claim for a severance benefit is denied, in whole or in part, you have a right to know why it was denied, to obtain copies of documents relating to the decision without charge, and to appeal any denial, all within certain time schedules. The claim review procedure is explained in Sections 12 and 13, above.</w:t>
      </w:r>
    </w:p>
    <w:p>
      <w:pPr>
        <w:spacing w:after="0" w:line="173" w:lineRule="exact"/>
        <w:rPr>
          <w:sz w:val="20"/>
          <w:szCs w:val="20"/>
          <w:color w:val="auto"/>
        </w:rPr>
      </w:pPr>
    </w:p>
    <w:p>
      <w:pPr>
        <w:ind w:right="40" w:firstLine="905"/>
        <w:spacing w:after="0" w:line="243" w:lineRule="auto"/>
        <w:rPr>
          <w:sz w:val="20"/>
          <w:szCs w:val="20"/>
          <w:color w:val="auto"/>
        </w:rPr>
      </w:pPr>
      <w:r>
        <w:rPr>
          <w:rFonts w:ascii="Times New Roman" w:cs="Times New Roman" w:eastAsia="Times New Roman" w:hAnsi="Times New Roman"/>
          <w:sz w:val="20"/>
          <w:szCs w:val="20"/>
          <w:color w:val="auto"/>
        </w:rPr>
        <w:t>Under ERISA, there are steps you can take to enforce the above rights. For instance, if you request a copy of Plan documents and do not receive them within thirty (30) days, you may file suit in a federal court. In such a case, the court may require the Administrator to provide the materials and to pay you up to $110 a day until you receive the materials, unless the materials were not sent because of reasons beyond the control of the Administrator. If you have a claim which is denied or ignored, in whole or in part, you may file suit in a federal court. If it should happen that you are discriminated against for asserting your rights, you may seek assistance from the U.S. Department of Labor, or you may file suit in a federal court. The court will decide who should pay court costs and legal fees. If you are successful, the court may order the person you have sued to pay these costs and fees. If you lose, the court may order you to pay these costs and fees, for example, if it finds your claim is frivolous.</w:t>
      </w:r>
    </w:p>
    <w:p>
      <w:pPr>
        <w:spacing w:after="0" w:line="189" w:lineRule="exact"/>
        <w:rPr>
          <w:sz w:val="20"/>
          <w:szCs w:val="20"/>
          <w:color w:val="auto"/>
        </w:rPr>
      </w:pPr>
    </w:p>
    <w:p>
      <w:pPr>
        <w:ind w:right="80" w:firstLine="905"/>
        <w:spacing w:after="0" w:line="245" w:lineRule="auto"/>
        <w:rPr>
          <w:sz w:val="20"/>
          <w:szCs w:val="20"/>
          <w:color w:val="auto"/>
        </w:rPr>
      </w:pPr>
      <w:r>
        <w:rPr>
          <w:rFonts w:ascii="Times New Roman" w:cs="Times New Roman" w:eastAsia="Times New Roman" w:hAnsi="Times New Roman"/>
          <w:sz w:val="20"/>
          <w:szCs w:val="20"/>
          <w:color w:val="auto"/>
        </w:rPr>
        <w:t>If you have any questions regarding the Plan, please contact the Administrator. If you have any questions about this statement or about your rights under ERISA, you may contact the nearest office of the Employee Benefits Security Administration, U.S. Department of Labor (listed in your telephone directory) or the Division of Technical Assistance and Inquiries, Employee Benefits Security Administration, U.S. Department of Labor, 200 Constitution Avenue, N.W., Washington, D.C. 20210. You may also obtain certain publications about your rights and responsibilities under ERISA by calling the publications hotline of the Employee Benefits Security Administration at 1-866-444-3272.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ppendix</w:t>
      </w:r>
      <w:r>
        <w:rPr>
          <w:rFonts w:ascii="Times New Roman" w:cs="Times New Roman" w:eastAsia="Times New Roman" w:hAnsi="Times New Roman"/>
          <w:sz w:val="22"/>
          <w:szCs w:val="22"/>
          <w:b w:val="1"/>
          <w:bCs w:val="1"/>
          <w:color w:val="auto"/>
        </w:rPr>
        <w:t xml:space="preserve"> A</w:t>
      </w:r>
    </w:p>
    <w:p>
      <w:pPr>
        <w:spacing w:after="0" w:line="23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SENSEI BIOTHERAPEUTICS,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SEVERANCE PLAN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Participation Agreement</w:t>
      </w:r>
    </w:p>
    <w:p>
      <w:pPr>
        <w:spacing w:after="0" w:line="220" w:lineRule="exact"/>
        <w:rPr>
          <w:sz w:val="20"/>
          <w:szCs w:val="20"/>
          <w:color w:val="auto"/>
        </w:rPr>
      </w:pPr>
    </w:p>
    <w:p>
      <w:pPr>
        <w:ind w:right="80" w:firstLine="749"/>
        <w:spacing w:after="0" w:line="249" w:lineRule="auto"/>
        <w:rPr>
          <w:sz w:val="20"/>
          <w:szCs w:val="20"/>
          <w:color w:val="auto"/>
        </w:rPr>
      </w:pPr>
      <w:r>
        <w:rPr>
          <w:rFonts w:ascii="Times New Roman" w:cs="Times New Roman" w:eastAsia="Times New Roman" w:hAnsi="Times New Roman"/>
          <w:sz w:val="20"/>
          <w:szCs w:val="20"/>
          <w:color w:val="auto"/>
        </w:rPr>
        <w:t>Sensei Biotherapeutics,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is pleased to inform you, [ ], that you have been selected to participate in the Company’s Severance Plan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as a Covered Employee. A copy of the Plan was delivered to you with this Participation Agreement. Your participation in the Plan is subject to all of the terms and conditions of the Plan. The capitalized terms used but not defined herein will have the meanings ascribed to them in the Plan.</w:t>
      </w:r>
    </w:p>
    <w:p>
      <w:pPr>
        <w:spacing w:after="0" w:line="180" w:lineRule="exact"/>
        <w:rPr>
          <w:sz w:val="20"/>
          <w:szCs w:val="20"/>
          <w:color w:val="auto"/>
        </w:rPr>
      </w:pPr>
    </w:p>
    <w:p>
      <w:pPr>
        <w:ind w:right="100" w:firstLine="749"/>
        <w:spacing w:after="0" w:line="269" w:lineRule="auto"/>
        <w:rPr>
          <w:sz w:val="20"/>
          <w:szCs w:val="20"/>
          <w:color w:val="auto"/>
        </w:rPr>
      </w:pPr>
      <w:r>
        <w:rPr>
          <w:rFonts w:ascii="Times New Roman" w:cs="Times New Roman" w:eastAsia="Times New Roman" w:hAnsi="Times New Roman"/>
          <w:sz w:val="20"/>
          <w:szCs w:val="20"/>
          <w:color w:val="auto"/>
        </w:rPr>
        <w:t>In order to become a Covered Employee under the Plan, you must complete and sign this Participation Agreement and return it to [ ] no later than [ ].</w:t>
      </w:r>
    </w:p>
    <w:p>
      <w:pPr>
        <w:spacing w:after="0" w:line="159" w:lineRule="exact"/>
        <w:rPr>
          <w:sz w:val="20"/>
          <w:szCs w:val="20"/>
          <w:color w:val="auto"/>
        </w:rPr>
      </w:pPr>
    </w:p>
    <w:p>
      <w:pPr>
        <w:ind w:right="120" w:firstLine="749"/>
        <w:spacing w:after="0" w:line="254" w:lineRule="auto"/>
        <w:rPr>
          <w:sz w:val="20"/>
          <w:szCs w:val="20"/>
          <w:color w:val="auto"/>
        </w:rPr>
      </w:pPr>
      <w:r>
        <w:rPr>
          <w:rFonts w:ascii="Times New Roman" w:cs="Times New Roman" w:eastAsia="Times New Roman" w:hAnsi="Times New Roman"/>
          <w:sz w:val="20"/>
          <w:szCs w:val="20"/>
          <w:color w:val="auto"/>
        </w:rPr>
        <w:t>The Plan describes in detail certain circumstances under which you may become eligible for Severance Benefits and the amount of those benefits. As described more fully in the Plan, you may become eligible for certain Severance Benefits if you experience a Covered Termination.</w:t>
      </w:r>
    </w:p>
    <w:p>
      <w:pPr>
        <w:spacing w:after="0" w:line="174" w:lineRule="exact"/>
        <w:rPr>
          <w:sz w:val="20"/>
          <w:szCs w:val="20"/>
          <w:color w:val="auto"/>
        </w:rPr>
      </w:pPr>
    </w:p>
    <w:p>
      <w:pPr>
        <w:ind w:right="300" w:firstLine="749"/>
        <w:spacing w:after="0" w:line="269" w:lineRule="auto"/>
        <w:rPr>
          <w:sz w:val="20"/>
          <w:szCs w:val="20"/>
          <w:color w:val="auto"/>
        </w:rPr>
      </w:pPr>
      <w:r>
        <w:rPr>
          <w:rFonts w:ascii="Times New Roman" w:cs="Times New Roman" w:eastAsia="Times New Roman" w:hAnsi="Times New Roman"/>
          <w:sz w:val="20"/>
          <w:szCs w:val="20"/>
          <w:color w:val="auto"/>
        </w:rPr>
        <w:t>If you become eligible for Standard Severance Benefits under Section 4.1 of the Plan, then subject to the terms and conditions of the Plan, you will receive:</w:t>
      </w:r>
    </w:p>
    <w:p>
      <w:pPr>
        <w:spacing w:after="0" w:line="159" w:lineRule="exact"/>
        <w:rPr>
          <w:sz w:val="20"/>
          <w:szCs w:val="20"/>
          <w:color w:val="auto"/>
        </w:rPr>
      </w:pPr>
    </w:p>
    <w:tbl>
      <w:tblPr>
        <w:tblLayout w:type="fixed"/>
        <w:tblInd w:w="1230" w:type="dxa"/>
        <w:tblCellMar>
          <w:top w:w="0" w:type="dxa"/>
          <w:left w:w="0" w:type="dxa"/>
          <w:bottom w:w="0" w:type="dxa"/>
          <w:right w:w="0" w:type="dxa"/>
        </w:tblCellMar>
      </w:tblPr>
      <w:tr>
        <w:trPr>
          <w:trHeight w:val="60"/>
        </w:trPr>
        <w:tc>
          <w:tcPr>
            <w:tcW w:w="38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3380" w:type="dxa"/>
            <w:vAlign w:val="bottom"/>
            <w:tcBorders>
              <w:bottom w:val="single" w:sz="8" w:color="auto"/>
            </w:tcBorders>
          </w:tcPr>
          <w:p>
            <w:pPr>
              <w:spacing w:after="0"/>
              <w:rPr>
                <w:sz w:val="5"/>
                <w:szCs w:val="5"/>
                <w:color w:val="auto"/>
              </w:rPr>
            </w:pPr>
          </w:p>
        </w:tc>
      </w:tr>
      <w:tr>
        <w:trPr>
          <w:trHeight w:val="203"/>
        </w:trPr>
        <w:tc>
          <w:tcPr>
            <w:tcW w:w="3840" w:type="dxa"/>
            <w:vAlign w:val="bottom"/>
            <w:tcBorders>
              <w:left w:val="single" w:sz="8" w:color="auto"/>
              <w:bottom w:val="single" w:sz="8" w:color="auto"/>
              <w:right w:val="single" w:sz="8" w:color="auto"/>
            </w:tcBorders>
          </w:tcPr>
          <w:p>
            <w:pPr>
              <w:ind w:left="120"/>
              <w:spacing w:after="0" w:line="183" w:lineRule="exact"/>
              <w:rPr>
                <w:sz w:val="20"/>
                <w:szCs w:val="20"/>
                <w:color w:val="auto"/>
              </w:rPr>
            </w:pPr>
            <w:r>
              <w:rPr>
                <w:rFonts w:ascii="Times New Roman" w:cs="Times New Roman" w:eastAsia="Times New Roman" w:hAnsi="Times New Roman"/>
                <w:sz w:val="20"/>
                <w:szCs w:val="20"/>
                <w:color w:val="auto"/>
              </w:rPr>
              <w:t>Cash Severance</w:t>
            </w:r>
          </w:p>
        </w:tc>
        <w:tc>
          <w:tcPr>
            <w:tcW w:w="300" w:type="dxa"/>
            <w:vAlign w:val="bottom"/>
            <w:tcBorders>
              <w:bottom w:val="single" w:sz="8" w:color="auto"/>
            </w:tcBorders>
          </w:tcPr>
          <w:p>
            <w:pPr>
              <w:jc w:val="right"/>
              <w:ind w:right="48"/>
              <w:spacing w:after="0" w:line="183" w:lineRule="exact"/>
              <w:rPr>
                <w:sz w:val="20"/>
                <w:szCs w:val="20"/>
                <w:color w:val="auto"/>
              </w:rPr>
            </w:pPr>
            <w:r>
              <w:rPr>
                <w:rFonts w:ascii="Times New Roman" w:cs="Times New Roman" w:eastAsia="Times New Roman" w:hAnsi="Times New Roman"/>
                <w:sz w:val="10"/>
                <w:szCs w:val="10"/>
                <w:color w:val="auto"/>
              </w:rPr>
              <w:t>1</w:t>
            </w:r>
            <w:r>
              <w:rPr>
                <w:rFonts w:ascii="Times New Roman" w:cs="Times New Roman" w:eastAsia="Times New Roman" w:hAnsi="Times New Roman"/>
                <w:sz w:val="21"/>
                <w:szCs w:val="21"/>
                <w:color w:val="auto"/>
                <w:vertAlign w:val="subscript"/>
              </w:rPr>
              <w:t>[</w:t>
            </w:r>
          </w:p>
        </w:tc>
        <w:tc>
          <w:tcPr>
            <w:tcW w:w="3380" w:type="dxa"/>
            <w:vAlign w:val="bottom"/>
            <w:tcBorders>
              <w:bottom w:val="single" w:sz="8" w:color="auto"/>
              <w:right w:val="single" w:sz="8" w:color="auto"/>
            </w:tcBorders>
          </w:tcPr>
          <w:p>
            <w:pPr>
              <w:ind w:left="100"/>
              <w:spacing w:after="0" w:line="183" w:lineRule="exact"/>
              <w:rPr>
                <w:sz w:val="20"/>
                <w:szCs w:val="20"/>
                <w:color w:val="auto"/>
              </w:rPr>
            </w:pPr>
            <w:r>
              <w:rPr>
                <w:rFonts w:ascii="Times New Roman" w:cs="Times New Roman" w:eastAsia="Times New Roman" w:hAnsi="Times New Roman"/>
                <w:sz w:val="20"/>
                <w:szCs w:val="20"/>
                <w:color w:val="auto"/>
              </w:rPr>
              <w:t>] months</w:t>
            </w:r>
          </w:p>
        </w:tc>
      </w:tr>
      <w:tr>
        <w:trPr>
          <w:trHeight w:val="206"/>
        </w:trPr>
        <w:tc>
          <w:tcPr>
            <w:tcW w:w="3840" w:type="dxa"/>
            <w:vAlign w:val="bottom"/>
            <w:tcBorders>
              <w:left w:val="single" w:sz="8" w:color="auto"/>
              <w:bottom w:val="single" w:sz="8" w:color="auto"/>
              <w:right w:val="single" w:sz="8" w:color="auto"/>
            </w:tcBorders>
          </w:tcPr>
          <w:p>
            <w:pPr>
              <w:ind w:left="120"/>
              <w:spacing w:after="0" w:line="207" w:lineRule="exact"/>
              <w:rPr>
                <w:sz w:val="20"/>
                <w:szCs w:val="20"/>
                <w:color w:val="auto"/>
              </w:rPr>
            </w:pPr>
            <w:r>
              <w:rPr>
                <w:rFonts w:ascii="Times New Roman" w:cs="Times New Roman" w:eastAsia="Times New Roman" w:hAnsi="Times New Roman"/>
                <w:sz w:val="20"/>
                <w:szCs w:val="20"/>
                <w:color w:val="auto"/>
              </w:rPr>
              <w:t>COBRA Premiums</w:t>
            </w:r>
          </w:p>
        </w:tc>
        <w:tc>
          <w:tcPr>
            <w:tcW w:w="300" w:type="dxa"/>
            <w:vAlign w:val="bottom"/>
            <w:tcBorders>
              <w:bottom w:val="single" w:sz="8" w:color="auto"/>
            </w:tcBorders>
          </w:tcPr>
          <w:p>
            <w:pPr>
              <w:jc w:val="right"/>
              <w:ind w:right="48"/>
              <w:spacing w:after="0" w:line="207" w:lineRule="exact"/>
              <w:rPr>
                <w:sz w:val="20"/>
                <w:szCs w:val="20"/>
                <w:color w:val="auto"/>
              </w:rPr>
            </w:pPr>
            <w:r>
              <w:rPr>
                <w:rFonts w:ascii="Times New Roman" w:cs="Times New Roman" w:eastAsia="Times New Roman" w:hAnsi="Times New Roman"/>
                <w:sz w:val="11"/>
                <w:szCs w:val="11"/>
                <w:color w:val="auto"/>
              </w:rPr>
              <w:t>2</w:t>
            </w:r>
            <w:r>
              <w:rPr>
                <w:rFonts w:ascii="Times New Roman" w:cs="Times New Roman" w:eastAsia="Times New Roman" w:hAnsi="Times New Roman"/>
                <w:sz w:val="23"/>
                <w:szCs w:val="23"/>
                <w:color w:val="auto"/>
                <w:vertAlign w:val="subscript"/>
              </w:rPr>
              <w:t>[</w:t>
            </w:r>
          </w:p>
        </w:tc>
        <w:tc>
          <w:tcPr>
            <w:tcW w:w="3380" w:type="dxa"/>
            <w:vAlign w:val="bottom"/>
            <w:tcBorders>
              <w:bottom w:val="single" w:sz="8" w:color="auto"/>
              <w:right w:val="single" w:sz="8" w:color="auto"/>
            </w:tcBorders>
          </w:tcPr>
          <w:p>
            <w:pPr>
              <w:ind w:left="100"/>
              <w:spacing w:after="0" w:line="207" w:lineRule="exact"/>
              <w:rPr>
                <w:sz w:val="20"/>
                <w:szCs w:val="20"/>
                <w:color w:val="auto"/>
              </w:rPr>
            </w:pPr>
            <w:r>
              <w:rPr>
                <w:rFonts w:ascii="Times New Roman" w:cs="Times New Roman" w:eastAsia="Times New Roman" w:hAnsi="Times New Roman"/>
                <w:sz w:val="20"/>
                <w:szCs w:val="20"/>
                <w:color w:val="auto"/>
              </w:rPr>
              <w:t>] months</w:t>
            </w:r>
          </w:p>
        </w:tc>
      </w:tr>
    </w:tbl>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If you become eligible for CIC Severance Benefits under Section 4.2 of the Plan, then subject to the terms and conditions of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Plan, you will receive:</w:t>
      </w:r>
    </w:p>
    <w:p>
      <w:pPr>
        <w:spacing w:after="0" w:line="193" w:lineRule="exact"/>
        <w:rPr>
          <w:sz w:val="20"/>
          <w:szCs w:val="20"/>
          <w:color w:val="auto"/>
        </w:rPr>
      </w:pPr>
    </w:p>
    <w:tbl>
      <w:tblPr>
        <w:tblLayout w:type="fixed"/>
        <w:tblInd w:w="1230" w:type="dxa"/>
        <w:tblCellMar>
          <w:top w:w="0" w:type="dxa"/>
          <w:left w:w="0" w:type="dxa"/>
          <w:bottom w:w="0" w:type="dxa"/>
          <w:right w:w="0" w:type="dxa"/>
        </w:tblCellMar>
      </w:tblPr>
      <w:tr>
        <w:trPr>
          <w:trHeight w:val="60"/>
        </w:trPr>
        <w:tc>
          <w:tcPr>
            <w:tcW w:w="38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3380" w:type="dxa"/>
            <w:vAlign w:val="bottom"/>
            <w:tcBorders>
              <w:bottom w:val="single" w:sz="8" w:color="auto"/>
            </w:tcBorders>
          </w:tcPr>
          <w:p>
            <w:pPr>
              <w:spacing w:after="0"/>
              <w:rPr>
                <w:sz w:val="5"/>
                <w:szCs w:val="5"/>
                <w:color w:val="auto"/>
              </w:rPr>
            </w:pPr>
          </w:p>
        </w:tc>
      </w:tr>
      <w:tr>
        <w:trPr>
          <w:trHeight w:val="203"/>
        </w:trPr>
        <w:tc>
          <w:tcPr>
            <w:tcW w:w="3840" w:type="dxa"/>
            <w:vAlign w:val="bottom"/>
            <w:tcBorders>
              <w:left w:val="single" w:sz="8" w:color="auto"/>
              <w:bottom w:val="single" w:sz="8" w:color="auto"/>
              <w:right w:val="single" w:sz="8" w:color="auto"/>
            </w:tcBorders>
          </w:tcPr>
          <w:p>
            <w:pPr>
              <w:ind w:left="120"/>
              <w:spacing w:after="0" w:line="183" w:lineRule="exact"/>
              <w:rPr>
                <w:sz w:val="20"/>
                <w:szCs w:val="20"/>
                <w:color w:val="auto"/>
              </w:rPr>
            </w:pPr>
            <w:r>
              <w:rPr>
                <w:rFonts w:ascii="Times New Roman" w:cs="Times New Roman" w:eastAsia="Times New Roman" w:hAnsi="Times New Roman"/>
                <w:sz w:val="20"/>
                <w:szCs w:val="20"/>
                <w:color w:val="auto"/>
              </w:rPr>
              <w:t>Cash Severance</w:t>
            </w:r>
          </w:p>
        </w:tc>
        <w:tc>
          <w:tcPr>
            <w:tcW w:w="300" w:type="dxa"/>
            <w:vAlign w:val="bottom"/>
            <w:tcBorders>
              <w:bottom w:val="single" w:sz="8" w:color="auto"/>
            </w:tcBorders>
          </w:tcPr>
          <w:p>
            <w:pPr>
              <w:jc w:val="right"/>
              <w:ind w:right="28"/>
              <w:spacing w:after="0" w:line="183" w:lineRule="exact"/>
              <w:rPr>
                <w:sz w:val="20"/>
                <w:szCs w:val="20"/>
                <w:color w:val="auto"/>
              </w:rPr>
            </w:pPr>
            <w:r>
              <w:rPr>
                <w:rFonts w:ascii="Times New Roman" w:cs="Times New Roman" w:eastAsia="Times New Roman" w:hAnsi="Times New Roman"/>
                <w:sz w:val="10"/>
                <w:szCs w:val="10"/>
                <w:color w:val="auto"/>
              </w:rPr>
              <w:t>3</w:t>
            </w:r>
            <w:r>
              <w:rPr>
                <w:rFonts w:ascii="Times New Roman" w:cs="Times New Roman" w:eastAsia="Times New Roman" w:hAnsi="Times New Roman"/>
                <w:sz w:val="21"/>
                <w:szCs w:val="21"/>
                <w:color w:val="auto"/>
                <w:vertAlign w:val="subscript"/>
              </w:rPr>
              <w:t>[</w:t>
            </w:r>
          </w:p>
        </w:tc>
        <w:tc>
          <w:tcPr>
            <w:tcW w:w="3380" w:type="dxa"/>
            <w:vAlign w:val="bottom"/>
            <w:tcBorders>
              <w:bottom w:val="single" w:sz="8" w:color="auto"/>
              <w:right w:val="single" w:sz="8" w:color="auto"/>
            </w:tcBorders>
          </w:tcPr>
          <w:p>
            <w:pPr>
              <w:ind w:left="100"/>
              <w:spacing w:after="0" w:line="183" w:lineRule="exact"/>
              <w:rPr>
                <w:sz w:val="20"/>
                <w:szCs w:val="20"/>
                <w:color w:val="auto"/>
              </w:rPr>
            </w:pPr>
            <w:r>
              <w:rPr>
                <w:rFonts w:ascii="Times New Roman" w:cs="Times New Roman" w:eastAsia="Times New Roman" w:hAnsi="Times New Roman"/>
                <w:sz w:val="20"/>
                <w:szCs w:val="20"/>
                <w:color w:val="auto"/>
              </w:rPr>
              <w:t>] months</w:t>
            </w:r>
          </w:p>
        </w:tc>
      </w:tr>
      <w:tr>
        <w:trPr>
          <w:trHeight w:val="206"/>
        </w:trPr>
        <w:tc>
          <w:tcPr>
            <w:tcW w:w="3840" w:type="dxa"/>
            <w:vAlign w:val="bottom"/>
            <w:tcBorders>
              <w:left w:val="single" w:sz="8" w:color="auto"/>
              <w:bottom w:val="single" w:sz="8" w:color="auto"/>
              <w:right w:val="single" w:sz="8" w:color="auto"/>
            </w:tcBorders>
          </w:tcPr>
          <w:p>
            <w:pPr>
              <w:ind w:left="120"/>
              <w:spacing w:after="0" w:line="207" w:lineRule="exact"/>
              <w:rPr>
                <w:sz w:val="20"/>
                <w:szCs w:val="20"/>
                <w:color w:val="auto"/>
              </w:rPr>
            </w:pPr>
            <w:r>
              <w:rPr>
                <w:rFonts w:ascii="Times New Roman" w:cs="Times New Roman" w:eastAsia="Times New Roman" w:hAnsi="Times New Roman"/>
                <w:sz w:val="20"/>
                <w:szCs w:val="20"/>
                <w:color w:val="auto"/>
              </w:rPr>
              <w:t>CIC Target Bonus</w:t>
            </w:r>
          </w:p>
        </w:tc>
        <w:tc>
          <w:tcPr>
            <w:tcW w:w="300" w:type="dxa"/>
            <w:vAlign w:val="bottom"/>
            <w:tcBorders>
              <w:bottom w:val="single" w:sz="8" w:color="auto"/>
            </w:tcBorders>
          </w:tcPr>
          <w:p>
            <w:pPr>
              <w:jc w:val="right"/>
              <w:ind w:right="28"/>
              <w:spacing w:after="0" w:line="207" w:lineRule="exact"/>
              <w:rPr>
                <w:sz w:val="20"/>
                <w:szCs w:val="20"/>
                <w:color w:val="auto"/>
              </w:rPr>
            </w:pP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w:t>
            </w:r>
          </w:p>
        </w:tc>
        <w:tc>
          <w:tcPr>
            <w:tcW w:w="3380" w:type="dxa"/>
            <w:vAlign w:val="bottom"/>
            <w:tcBorders>
              <w:bottom w:val="single" w:sz="8" w:color="auto"/>
              <w:right w:val="single" w:sz="8" w:color="auto"/>
            </w:tcBorders>
          </w:tcPr>
          <w:p>
            <w:pPr>
              <w:ind w:left="100"/>
              <w:spacing w:after="0" w:line="207" w:lineRule="exact"/>
              <w:rPr>
                <w:sz w:val="20"/>
                <w:szCs w:val="20"/>
                <w:color w:val="auto"/>
              </w:rPr>
            </w:pPr>
            <w:r>
              <w:rPr>
                <w:rFonts w:ascii="Times New Roman" w:cs="Times New Roman" w:eastAsia="Times New Roman" w:hAnsi="Times New Roman"/>
                <w:sz w:val="20"/>
                <w:szCs w:val="20"/>
                <w:color w:val="auto"/>
              </w:rPr>
              <w:t>]x</w:t>
            </w:r>
          </w:p>
        </w:tc>
      </w:tr>
      <w:tr>
        <w:trPr>
          <w:trHeight w:val="223"/>
        </w:trPr>
        <w:tc>
          <w:tcPr>
            <w:tcW w:w="384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COBRA Premiums</w:t>
            </w:r>
          </w:p>
        </w:tc>
        <w:tc>
          <w:tcPr>
            <w:tcW w:w="300" w:type="dxa"/>
            <w:vAlign w:val="bottom"/>
            <w:tcBorders>
              <w:bottom w:val="single" w:sz="8" w:color="auto"/>
            </w:tcBorders>
          </w:tcPr>
          <w:p>
            <w:pPr>
              <w:jc w:val="right"/>
              <w:ind w:right="28"/>
              <w:spacing w:after="0" w:line="223" w:lineRule="exact"/>
              <w:rPr>
                <w:sz w:val="20"/>
                <w:szCs w:val="20"/>
                <w:color w:val="auto"/>
              </w:rPr>
            </w:pPr>
            <w:r>
              <w:rPr>
                <w:rFonts w:ascii="Times New Roman" w:cs="Times New Roman" w:eastAsia="Times New Roman" w:hAnsi="Times New Roman"/>
                <w:sz w:val="11"/>
                <w:szCs w:val="11"/>
                <w:color w:val="auto"/>
              </w:rPr>
              <w:t>5</w:t>
            </w:r>
            <w:r>
              <w:rPr>
                <w:rFonts w:ascii="Times New Roman" w:cs="Times New Roman" w:eastAsia="Times New Roman" w:hAnsi="Times New Roman"/>
                <w:sz w:val="25"/>
                <w:szCs w:val="25"/>
                <w:color w:val="auto"/>
                <w:vertAlign w:val="subscript"/>
              </w:rPr>
              <w:t>[</w:t>
            </w:r>
          </w:p>
        </w:tc>
        <w:tc>
          <w:tcPr>
            <w:tcW w:w="3380" w:type="dxa"/>
            <w:vAlign w:val="bottom"/>
            <w:tcBorders>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 months</w:t>
            </w:r>
          </w:p>
        </w:tc>
      </w:tr>
      <w:tr>
        <w:trPr>
          <w:trHeight w:val="223"/>
        </w:trPr>
        <w:tc>
          <w:tcPr>
            <w:tcW w:w="384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Equity Acceleration</w:t>
            </w:r>
          </w:p>
        </w:tc>
        <w:tc>
          <w:tcPr>
            <w:tcW w:w="300" w:type="dxa"/>
            <w:vAlign w:val="bottom"/>
            <w:tcBorders>
              <w:bottom w:val="single" w:sz="8" w:color="auto"/>
            </w:tcBorders>
          </w:tcPr>
          <w:p>
            <w:pPr>
              <w:jc w:val="right"/>
              <w:ind w:right="28"/>
              <w:spacing w:after="0" w:line="223" w:lineRule="exact"/>
              <w:rPr>
                <w:sz w:val="20"/>
                <w:szCs w:val="20"/>
                <w:color w:val="auto"/>
              </w:rPr>
            </w:pPr>
            <w:r>
              <w:rPr>
                <w:rFonts w:ascii="Times New Roman" w:cs="Times New Roman" w:eastAsia="Times New Roman" w:hAnsi="Times New Roman"/>
                <w:sz w:val="25"/>
                <w:szCs w:val="25"/>
                <w:color w:val="auto"/>
                <w:vertAlign w:val="superscript"/>
              </w:rPr>
              <w:t>6</w:t>
            </w:r>
            <w:r>
              <w:rPr>
                <w:rFonts w:ascii="Times New Roman" w:cs="Times New Roman" w:eastAsia="Times New Roman" w:hAnsi="Times New Roman"/>
                <w:sz w:val="19"/>
                <w:szCs w:val="19"/>
                <w:color w:val="auto"/>
              </w:rPr>
              <w:t>[</w:t>
            </w:r>
          </w:p>
        </w:tc>
        <w:tc>
          <w:tcPr>
            <w:tcW w:w="3380" w:type="dxa"/>
            <w:vAlign w:val="bottom"/>
            <w:tcBorders>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w:t>
            </w:r>
          </w:p>
        </w:tc>
      </w:tr>
    </w:tbl>
    <w:p>
      <w:pPr>
        <w:spacing w:after="0" w:line="207" w:lineRule="exact"/>
        <w:rPr>
          <w:sz w:val="20"/>
          <w:szCs w:val="20"/>
          <w:color w:val="auto"/>
        </w:rPr>
      </w:pPr>
    </w:p>
    <w:p>
      <w:pPr>
        <w:ind w:right="460" w:firstLine="749"/>
        <w:spacing w:after="0" w:line="249" w:lineRule="auto"/>
        <w:rPr>
          <w:sz w:val="20"/>
          <w:szCs w:val="20"/>
          <w:color w:val="auto"/>
        </w:rPr>
      </w:pPr>
      <w:r>
        <w:rPr>
          <w:rFonts w:ascii="Times New Roman" w:cs="Times New Roman" w:eastAsia="Times New Roman" w:hAnsi="Times New Roman"/>
          <w:sz w:val="20"/>
          <w:szCs w:val="20"/>
          <w:color w:val="auto"/>
        </w:rPr>
        <w:t>If (x) you experience a Covered Termination prior to a Change in Control and become eligible to receive Standard Severance Benefits under Section 4.1 of the Plan and (y) a Change in Control subsequently occurs within three (3) months following such Covered Termination and you therefore become eligible to receive CIC Severance Benefits under Section 4.2 of the Plan, then (i) you will cease receiving the Standard Severance Benefits under Section 4.1 of the Plan and (ii) you will commence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115570</wp:posOffset>
            </wp:positionV>
            <wp:extent cx="1688465" cy="508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1">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54" w:lineRule="exact"/>
        <w:rPr>
          <w:sz w:val="20"/>
          <w:szCs w:val="20"/>
          <w:color w:val="auto"/>
        </w:rPr>
      </w:pPr>
    </w:p>
    <w:p>
      <w:pPr>
        <w:ind w:left="120" w:hanging="112"/>
        <w:spacing w:after="0"/>
        <w:tabs>
          <w:tab w:leader="none" w:pos="120" w:val="left"/>
        </w:tabs>
        <w:numPr>
          <w:ilvl w:val="0"/>
          <w:numId w:val="5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NTD: To be 12 months for CEO; 9 months for C-Suite; 6 months for SVPs.</w:t>
      </w:r>
    </w:p>
    <w:p>
      <w:pPr>
        <w:spacing w:after="0" w:line="31" w:lineRule="exact"/>
        <w:rPr>
          <w:sz w:val="20"/>
          <w:szCs w:val="20"/>
          <w:color w:val="auto"/>
        </w:rPr>
      </w:pPr>
    </w:p>
    <w:p>
      <w:pPr>
        <w:ind w:left="120" w:hanging="112"/>
        <w:spacing w:after="0"/>
        <w:tabs>
          <w:tab w:leader="none" w:pos="120" w:val="left"/>
        </w:tabs>
        <w:numPr>
          <w:ilvl w:val="0"/>
          <w:numId w:val="5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NTD: To be 12 months for CEO; 9 months for C-Suite; 6 months for SVPs.</w:t>
      </w:r>
    </w:p>
    <w:p>
      <w:pPr>
        <w:spacing w:after="0" w:line="31" w:lineRule="exact"/>
        <w:rPr>
          <w:sz w:val="20"/>
          <w:szCs w:val="20"/>
          <w:color w:val="auto"/>
        </w:rPr>
      </w:pPr>
    </w:p>
    <w:p>
      <w:pPr>
        <w:ind w:left="120" w:hanging="112"/>
        <w:spacing w:after="0"/>
        <w:tabs>
          <w:tab w:leader="none" w:pos="120" w:val="left"/>
        </w:tabs>
        <w:numPr>
          <w:ilvl w:val="0"/>
          <w:numId w:val="5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NTD: To be 18 months for CEO;12 months for C-Suite; 9 months for SVPs.</w:t>
      </w:r>
    </w:p>
    <w:p>
      <w:pPr>
        <w:spacing w:after="0" w:line="31" w:lineRule="exact"/>
        <w:rPr>
          <w:sz w:val="20"/>
          <w:szCs w:val="20"/>
          <w:color w:val="auto"/>
        </w:rPr>
      </w:pPr>
    </w:p>
    <w:p>
      <w:pPr>
        <w:ind w:left="120" w:hanging="112"/>
        <w:spacing w:after="0"/>
        <w:tabs>
          <w:tab w:leader="none" w:pos="120" w:val="left"/>
        </w:tabs>
        <w:numPr>
          <w:ilvl w:val="0"/>
          <w:numId w:val="5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NTD: To be 1.5x for CEO; 1x for C-Suite; 0.75x for SVPs.</w:t>
      </w:r>
    </w:p>
    <w:p>
      <w:pPr>
        <w:spacing w:after="0" w:line="31" w:lineRule="exact"/>
        <w:rPr>
          <w:sz w:val="20"/>
          <w:szCs w:val="20"/>
          <w:color w:val="auto"/>
        </w:rPr>
      </w:pPr>
    </w:p>
    <w:p>
      <w:pPr>
        <w:ind w:left="120" w:hanging="112"/>
        <w:spacing w:after="0"/>
        <w:tabs>
          <w:tab w:leader="none" w:pos="120" w:val="left"/>
        </w:tabs>
        <w:numPr>
          <w:ilvl w:val="0"/>
          <w:numId w:val="6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NTD: To be 18 months for CEO; 12 months for C-Suite; 9 months for SVPs.</w:t>
      </w:r>
    </w:p>
    <w:p>
      <w:pPr>
        <w:spacing w:after="0" w:line="31" w:lineRule="exact"/>
        <w:rPr>
          <w:sz w:val="20"/>
          <w:szCs w:val="20"/>
          <w:color w:val="auto"/>
        </w:rPr>
      </w:pPr>
    </w:p>
    <w:p>
      <w:pPr>
        <w:ind w:left="120" w:hanging="112"/>
        <w:spacing w:after="0"/>
        <w:tabs>
          <w:tab w:leader="none" w:pos="120" w:val="left"/>
        </w:tabs>
        <w:numPr>
          <w:ilvl w:val="0"/>
          <w:numId w:val="6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NTD: To be 100% for all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878840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00" w:lineRule="exact"/>
        <w:rPr>
          <w:sz w:val="20"/>
          <w:szCs w:val="20"/>
          <w:color w:val="auto"/>
        </w:rPr>
      </w:pPr>
    </w:p>
    <w:p>
      <w:pPr>
        <w:spacing w:after="0" w:line="237"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20"/>
          <w:szCs w:val="20"/>
          <w:color w:val="auto"/>
        </w:rPr>
        <w:t>receiving the CIC Severance Benefits under Section 4.2 of the Plan, which will be offset by the corresponding Standard Severance Benefits you previously received prior to becoming eligible for the CIC Severance Benefits.</w:t>
      </w:r>
    </w:p>
    <w:p>
      <w:pPr>
        <w:spacing w:after="0" w:line="15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20"/>
          <w:szCs w:val="20"/>
          <w:color w:val="auto"/>
        </w:rPr>
        <w:t>In order to receive any Severance Benefits for which you otherwise become eligible under the Plan, you must sign and deliver to the Company the Release, which must have become effective and irrevocable, and otherwise comply with the requirements under Section 5 of the Plan.</w:t>
      </w:r>
    </w:p>
    <w:p>
      <w:pPr>
        <w:spacing w:after="0" w:line="174" w:lineRule="exact"/>
        <w:rPr>
          <w:sz w:val="20"/>
          <w:szCs w:val="20"/>
          <w:color w:val="auto"/>
        </w:rPr>
      </w:pPr>
    </w:p>
    <w:p>
      <w:pPr>
        <w:ind w:right="200" w:firstLine="749"/>
        <w:spacing w:after="0" w:line="249" w:lineRule="auto"/>
        <w:rPr>
          <w:sz w:val="20"/>
          <w:szCs w:val="20"/>
          <w:color w:val="auto"/>
        </w:rPr>
      </w:pPr>
      <w:r>
        <w:rPr>
          <w:rFonts w:ascii="Times New Roman" w:cs="Times New Roman" w:eastAsia="Times New Roman" w:hAnsi="Times New Roman"/>
          <w:sz w:val="20"/>
          <w:szCs w:val="20"/>
          <w:color w:val="auto"/>
        </w:rPr>
        <w:t>In accordance with Section 6 of the Plan, the benefits, if any, provided under the Plan are intended to be the exclusive benefits for you related to your termination of employment in connection with a Change in Control of the Company and will supersede and replace any change in control severance benefits to which you otherwise would be eligible to participate in any other Company change in control severance policy, plan, agreement or other arrangement (whether or not subject to ERISA).</w:t>
      </w:r>
    </w:p>
    <w:p>
      <w:pPr>
        <w:spacing w:after="0" w:line="180" w:lineRule="exact"/>
        <w:rPr>
          <w:sz w:val="20"/>
          <w:szCs w:val="20"/>
          <w:color w:val="auto"/>
        </w:rPr>
      </w:pPr>
    </w:p>
    <w:p>
      <w:pPr>
        <w:ind w:right="20" w:firstLine="749"/>
        <w:spacing w:after="0" w:line="244" w:lineRule="auto"/>
        <w:rPr>
          <w:sz w:val="20"/>
          <w:szCs w:val="20"/>
          <w:color w:val="auto"/>
        </w:rPr>
      </w:pPr>
      <w:r>
        <w:rPr>
          <w:rFonts w:ascii="Times New Roman" w:cs="Times New Roman" w:eastAsia="Times New Roman" w:hAnsi="Times New Roman"/>
          <w:sz w:val="20"/>
          <w:szCs w:val="20"/>
          <w:color w:val="auto"/>
        </w:rPr>
        <w:t>By your signature below, you and the Company agree that your participation in the Plan is governed by this Participation Agreement and the provisions of the Plan. Your signature below confirms that: (i) you have received a copy of the Plan; (ii) you have carefully read this Participation Agreement and the Plan and you acknowledge and agree to its terms, including, but not limited to, Section 6 of the Plan; (iii) you agree that this Participation Agreement and the provisions of the Plan supersede any individual agreement between you and the Company and any other plan, policy or practice, whether written or unwritten, maintained by the Company with respect to equity acceleration or severance benefits upon your separation from the Company; and (iv) decisions and determinations by the Administrator under the Plan will be final and binding on you and your successors.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12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rPr>
              <w:t>SENSEI BIOTHERAPEUTICS, INC.</w:t>
            </w:r>
          </w:p>
        </w:tc>
        <w:tc>
          <w:tcPr>
            <w:tcW w:w="612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COVERED EMPLOYEE</w:t>
            </w:r>
          </w:p>
        </w:tc>
      </w:tr>
      <w:tr>
        <w:trPr>
          <w:trHeight w:val="891"/>
        </w:trPr>
        <w:tc>
          <w:tcPr>
            <w:tcW w:w="5120" w:type="dxa"/>
            <w:vAlign w:val="bottom"/>
          </w:tcPr>
          <w:p>
            <w:pPr>
              <w:ind w:left="2440"/>
              <w:spacing w:after="0"/>
              <w:rPr>
                <w:sz w:val="20"/>
                <w:szCs w:val="20"/>
                <w:color w:val="auto"/>
              </w:rPr>
            </w:pPr>
            <w:r>
              <w:rPr>
                <w:rFonts w:ascii="Times New Roman" w:cs="Times New Roman" w:eastAsia="Times New Roman" w:hAnsi="Times New Roman"/>
                <w:sz w:val="20"/>
                <w:szCs w:val="20"/>
                <w:color w:val="auto"/>
              </w:rPr>
              <w:t>Signature</w:t>
            </w:r>
          </w:p>
        </w:tc>
        <w:tc>
          <w:tcPr>
            <w:tcW w:w="6120" w:type="dxa"/>
            <w:vAlign w:val="bottom"/>
          </w:tcPr>
          <w:p>
            <w:pPr>
              <w:ind w:left="2940"/>
              <w:spacing w:after="0"/>
              <w:rPr>
                <w:sz w:val="20"/>
                <w:szCs w:val="20"/>
                <w:color w:val="auto"/>
              </w:rPr>
            </w:pPr>
            <w:r>
              <w:rPr>
                <w:rFonts w:ascii="Times New Roman" w:cs="Times New Roman" w:eastAsia="Times New Roman" w:hAnsi="Times New Roman"/>
                <w:sz w:val="20"/>
                <w:szCs w:val="20"/>
                <w:color w:val="auto"/>
              </w:rPr>
              <w:t>Signature</w:t>
            </w:r>
          </w:p>
        </w:tc>
      </w:tr>
      <w:tr>
        <w:trPr>
          <w:trHeight w:val="445"/>
        </w:trPr>
        <w:tc>
          <w:tcPr>
            <w:tcW w:w="5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Name:</w:t>
            </w:r>
          </w:p>
        </w:tc>
        <w:tc>
          <w:tcPr>
            <w:tcW w:w="61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Name:</w:t>
            </w:r>
          </w:p>
        </w:tc>
      </w:tr>
      <w:tr>
        <w:trPr>
          <w:trHeight w:val="445"/>
        </w:trPr>
        <w:tc>
          <w:tcPr>
            <w:tcW w:w="5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Title:</w:t>
            </w:r>
          </w:p>
        </w:tc>
        <w:tc>
          <w:tcPr>
            <w:tcW w:w="61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Title:</w:t>
            </w:r>
          </w:p>
        </w:tc>
      </w:tr>
      <w:tr>
        <w:trPr>
          <w:trHeight w:val="445"/>
        </w:trPr>
        <w:tc>
          <w:tcPr>
            <w:tcW w:w="5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Date:</w:t>
            </w:r>
          </w:p>
        </w:tc>
        <w:tc>
          <w:tcPr>
            <w:tcW w:w="61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Date:</w:t>
            </w:r>
          </w:p>
        </w:tc>
      </w:tr>
      <w:tr>
        <w:trPr>
          <w:trHeight w:val="675"/>
        </w:trPr>
        <w:tc>
          <w:tcPr>
            <w:tcW w:w="5120" w:type="dxa"/>
            <w:vAlign w:val="bottom"/>
          </w:tcPr>
          <w:p>
            <w:pPr>
              <w:spacing w:after="0"/>
              <w:rPr>
                <w:sz w:val="20"/>
                <w:szCs w:val="20"/>
                <w:color w:val="auto"/>
              </w:rPr>
            </w:pPr>
            <w:r>
              <w:rPr>
                <w:rFonts w:ascii="Times New Roman" w:cs="Times New Roman" w:eastAsia="Times New Roman" w:hAnsi="Times New Roman"/>
                <w:sz w:val="20"/>
                <w:szCs w:val="20"/>
                <w:color w:val="auto"/>
              </w:rPr>
              <w:t>Attachment: Sensei Biotherapeutics, Inc. Severance Plan</w:t>
            </w:r>
          </w:p>
        </w:tc>
        <w:tc>
          <w:tcPr>
            <w:tcW w:w="6120" w:type="dxa"/>
            <w:vAlign w:val="bottom"/>
          </w:tcPr>
          <w:p>
            <w:pPr>
              <w:spacing w:after="0"/>
              <w:rPr>
                <w:sz w:val="24"/>
                <w:szCs w:val="24"/>
                <w:color w:val="auto"/>
              </w:rPr>
            </w:pPr>
          </w:p>
        </w:tc>
      </w:tr>
      <w:tr>
        <w:trPr>
          <w:trHeight w:val="1837"/>
        </w:trPr>
        <w:tc>
          <w:tcPr>
            <w:tcW w:w="5120" w:type="dxa"/>
            <w:vAlign w:val="bottom"/>
            <w:tcBorders>
              <w:bottom w:val="single" w:sz="8" w:color="9A9A9A"/>
            </w:tcBorders>
          </w:tcPr>
          <w:p>
            <w:pPr>
              <w:spacing w:after="0"/>
              <w:rPr>
                <w:sz w:val="24"/>
                <w:szCs w:val="24"/>
                <w:color w:val="auto"/>
              </w:rPr>
            </w:pPr>
          </w:p>
        </w:tc>
        <w:tc>
          <w:tcPr>
            <w:tcW w:w="6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color w:val="auto"/>
        </w:rPr>
        <w:t>Exhibit 10.2</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ensei</w:t>
      </w:r>
      <w:r>
        <w:rPr>
          <w:rFonts w:ascii="Times New Roman" w:cs="Times New Roman" w:eastAsia="Times New Roman" w:hAnsi="Times New Roman"/>
          <w:sz w:val="22"/>
          <w:szCs w:val="22"/>
          <w:b w:val="1"/>
          <w:bCs w:val="1"/>
          <w:color w:val="auto"/>
        </w:rPr>
        <w:t xml:space="preserve"> B</w:t>
      </w:r>
      <w:r>
        <w:rPr>
          <w:rFonts w:ascii="Times New Roman" w:cs="Times New Roman" w:eastAsia="Times New Roman" w:hAnsi="Times New Roman"/>
          <w:sz w:val="14"/>
          <w:szCs w:val="14"/>
          <w:b w:val="1"/>
          <w:bCs w:val="1"/>
          <w:color w:val="auto"/>
        </w:rPr>
        <w:t>iotherapeutics</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4"/>
          <w:szCs w:val="14"/>
          <w:b w:val="1"/>
          <w:bCs w:val="1"/>
          <w:color w:val="auto"/>
        </w:rPr>
        <w:t>on</w:t>
      </w: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mployee</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irector</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olicy</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estated</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4"/>
          <w:szCs w:val="14"/>
          <w:b w:val="1"/>
          <w:bCs w:val="1"/>
          <w:color w:val="auto"/>
        </w:rPr>
        <w:t>ffective</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pril</w:t>
      </w:r>
      <w:r>
        <w:rPr>
          <w:rFonts w:ascii="Times New Roman" w:cs="Times New Roman" w:eastAsia="Times New Roman" w:hAnsi="Times New Roman"/>
          <w:sz w:val="22"/>
          <w:szCs w:val="22"/>
          <w:b w:val="1"/>
          <w:bCs w:val="1"/>
          <w:color w:val="auto"/>
        </w:rPr>
        <w:t xml:space="preserve"> 10, 2026</w:t>
      </w:r>
    </w:p>
    <w:p>
      <w:pPr>
        <w:spacing w:after="0" w:line="20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Each member of the Board of Directors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who is not also serving as an employee of or consultant to Sensei Biotherapeutics,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or any of its subsidiaries (each such member, an “</w:t>
      </w:r>
      <w:r>
        <w:rPr>
          <w:rFonts w:ascii="Times New Roman" w:cs="Times New Roman" w:eastAsia="Times New Roman" w:hAnsi="Times New Roman"/>
          <w:sz w:val="22"/>
          <w:szCs w:val="22"/>
          <w:b w:val="1"/>
          <w:bCs w:val="1"/>
          <w:i w:val="1"/>
          <w:iCs w:val="1"/>
          <w:color w:val="auto"/>
        </w:rPr>
        <w:t>Eligible Director</w:t>
      </w:r>
      <w:r>
        <w:rPr>
          <w:rFonts w:ascii="Times New Roman" w:cs="Times New Roman" w:eastAsia="Times New Roman" w:hAnsi="Times New Roman"/>
          <w:sz w:val="22"/>
          <w:szCs w:val="22"/>
          <w:color w:val="auto"/>
        </w:rPr>
        <w:t>”) will receive the compensation described in this Non-Employee Director Compensation Policy for his or her Board service. An Eligible Director may decline all or any portion of his or her compensation by giving notice to the Company prior to the date cash may be paid or equity awards are to be granted, as the case may be. This policy may be amended at any time in the sole discretion of the Board or the Compensation Committee of the Board.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Annual Cash Compensation</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annual cash compensation amount set forth below is payable to Eligible Directors in equal quarterly installments, payable in arrears on the last day of each fiscal quarter in which the service occurred. If an Eligible Director joins the Board or a committee of the Board at a time other than effective as of the first day of a fiscal quarter, each annual retainer set forth below will be pro-rated based on days served in the applicable fiscal quarter, with the pro-rated amount paid on the last day of the first fiscal quarter in which the Eligible Director provides the service and regular full quarterly payments thereafter. All annual cash fees are vested upon payment.</w:t>
      </w:r>
    </w:p>
    <w:p>
      <w:pPr>
        <w:spacing w:after="0" w:line="208" w:lineRule="exact"/>
        <w:rPr>
          <w:sz w:val="20"/>
          <w:szCs w:val="20"/>
          <w:color w:val="auto"/>
        </w:rPr>
      </w:pPr>
    </w:p>
    <w:p>
      <w:pPr>
        <w:ind w:left="760" w:hanging="378"/>
        <w:spacing w:after="0"/>
        <w:tabs>
          <w:tab w:leader="none" w:pos="7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Board Service Retainer</w:t>
      </w:r>
      <w:r>
        <w:rPr>
          <w:rFonts w:ascii="Times New Roman" w:cs="Times New Roman" w:eastAsia="Times New Roman" w:hAnsi="Times New Roman"/>
          <w:sz w:val="22"/>
          <w:szCs w:val="22"/>
          <w:color w:val="auto"/>
        </w:rPr>
        <w:t>:</w:t>
      </w:r>
    </w:p>
    <w:p>
      <w:pPr>
        <w:spacing w:after="0" w:line="14" w:lineRule="exact"/>
        <w:rPr>
          <w:rFonts w:ascii="Times New Roman" w:cs="Times New Roman" w:eastAsia="Times New Roman" w:hAnsi="Times New Roman"/>
          <w:sz w:val="22"/>
          <w:szCs w:val="22"/>
          <w:color w:val="auto"/>
        </w:rPr>
      </w:pPr>
    </w:p>
    <w:p>
      <w:pPr>
        <w:ind w:left="1500" w:hanging="369"/>
        <w:spacing w:after="0" w:line="230" w:lineRule="auto"/>
        <w:tabs>
          <w:tab w:leader="none" w:pos="1500"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Eligible Directors: $40,000</w:t>
      </w:r>
    </w:p>
    <w:p>
      <w:pPr>
        <w:ind w:left="1500" w:hanging="369"/>
        <w:spacing w:after="0"/>
        <w:tabs>
          <w:tab w:leader="none" w:pos="1500"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Independent Chair of the Board Service Retainer (in addition to Eligible Director Service Retainer): $30,000</w:t>
      </w:r>
    </w:p>
    <w:p>
      <w:pPr>
        <w:spacing w:after="0" w:line="209"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Committee Chair Service Retainer</w:t>
      </w:r>
      <w:r>
        <w:rPr>
          <w:rFonts w:ascii="Times New Roman" w:cs="Times New Roman" w:eastAsia="Times New Roman" w:hAnsi="Times New Roman"/>
          <w:sz w:val="22"/>
          <w:szCs w:val="22"/>
          <w:color w:val="auto"/>
        </w:rPr>
        <w:t>:</w:t>
      </w:r>
    </w:p>
    <w:p>
      <w:pPr>
        <w:spacing w:after="0" w:line="14" w:lineRule="exact"/>
        <w:rPr>
          <w:rFonts w:ascii="Times New Roman" w:cs="Times New Roman" w:eastAsia="Times New Roman" w:hAnsi="Times New Roman"/>
          <w:sz w:val="22"/>
          <w:szCs w:val="22"/>
          <w:color w:val="auto"/>
        </w:rPr>
      </w:pPr>
    </w:p>
    <w:p>
      <w:pPr>
        <w:ind w:left="1500" w:hanging="369"/>
        <w:spacing w:after="0" w:line="230" w:lineRule="auto"/>
        <w:tabs>
          <w:tab w:leader="none" w:pos="1500"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Chair of the Audit Committee: $20,000</w:t>
      </w:r>
    </w:p>
    <w:p>
      <w:pPr>
        <w:ind w:left="1500" w:hanging="369"/>
        <w:spacing w:after="0" w:line="230" w:lineRule="auto"/>
        <w:tabs>
          <w:tab w:leader="none" w:pos="1500"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Chair of the Compensation Committee: $15,000</w:t>
      </w:r>
    </w:p>
    <w:p>
      <w:pPr>
        <w:ind w:left="1500" w:hanging="369"/>
        <w:spacing w:after="0"/>
        <w:tabs>
          <w:tab w:leader="none" w:pos="1500"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Chair of the Nominating and Corporate Governance Committee: $10,000</w:t>
      </w:r>
    </w:p>
    <w:p>
      <w:pPr>
        <w:spacing w:after="0" w:line="200" w:lineRule="exact"/>
        <w:rPr>
          <w:rFonts w:ascii="Times New Roman" w:cs="Times New Roman" w:eastAsia="Times New Roman" w:hAnsi="Times New Roman"/>
          <w:sz w:val="22"/>
          <w:szCs w:val="22"/>
          <w:color w:val="auto"/>
        </w:rPr>
      </w:pPr>
    </w:p>
    <w:p>
      <w:pPr>
        <w:spacing w:after="0" w:line="252"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Committee Member Service Retainer (not applicable to Committee Chairs)</w:t>
      </w:r>
      <w:r>
        <w:rPr>
          <w:rFonts w:ascii="Times New Roman" w:cs="Times New Roman" w:eastAsia="Times New Roman" w:hAnsi="Times New Roman"/>
          <w:sz w:val="22"/>
          <w:szCs w:val="22"/>
          <w:color w:val="auto"/>
        </w:rPr>
        <w:t>:</w:t>
      </w:r>
    </w:p>
    <w:p>
      <w:pPr>
        <w:spacing w:after="0" w:line="14" w:lineRule="exact"/>
        <w:rPr>
          <w:rFonts w:ascii="Times New Roman" w:cs="Times New Roman" w:eastAsia="Times New Roman" w:hAnsi="Times New Roman"/>
          <w:sz w:val="22"/>
          <w:szCs w:val="22"/>
          <w:color w:val="auto"/>
        </w:rPr>
      </w:pPr>
    </w:p>
    <w:p>
      <w:pPr>
        <w:ind w:left="1500" w:hanging="369"/>
        <w:spacing w:after="0" w:line="230" w:lineRule="auto"/>
        <w:tabs>
          <w:tab w:leader="none" w:pos="1500"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Member of the Audit Committee: $10,000</w:t>
      </w:r>
    </w:p>
    <w:p>
      <w:pPr>
        <w:ind w:left="1500" w:hanging="369"/>
        <w:spacing w:after="0" w:line="230" w:lineRule="auto"/>
        <w:tabs>
          <w:tab w:leader="none" w:pos="1500"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Member of the Compensation Committee: $7,500</w:t>
      </w:r>
    </w:p>
    <w:p>
      <w:pPr>
        <w:ind w:left="1500" w:hanging="369"/>
        <w:spacing w:after="0"/>
        <w:tabs>
          <w:tab w:leader="none" w:pos="1500"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Member of the Nominating and Corporate Governance Committee: $5,000</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Equity Compensation</w:t>
      </w:r>
    </w:p>
    <w:p>
      <w:pPr>
        <w:spacing w:after="0" w:line="20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1"/>
          <w:szCs w:val="21"/>
          <w:color w:val="auto"/>
        </w:rPr>
        <w:t>The equity compensation set forth below will be granted under the Company’s 2021 Equity Incentive Plan (the “</w:t>
      </w:r>
      <w:r>
        <w:rPr>
          <w:rFonts w:ascii="Times New Roman" w:cs="Times New Roman" w:eastAsia="Times New Roman" w:hAnsi="Times New Roman"/>
          <w:sz w:val="21"/>
          <w:szCs w:val="21"/>
          <w:b w:val="1"/>
          <w:bCs w:val="1"/>
          <w:i w:val="1"/>
          <w:iCs w:val="1"/>
          <w:color w:val="auto"/>
        </w:rPr>
        <w:t>Plan</w:t>
      </w:r>
      <w:r>
        <w:rPr>
          <w:rFonts w:ascii="Times New Roman" w:cs="Times New Roman" w:eastAsia="Times New Roman" w:hAnsi="Times New Roman"/>
          <w:sz w:val="21"/>
          <w:szCs w:val="21"/>
          <w:color w:val="auto"/>
        </w:rPr>
        <w:t>”). All stock options granted under this policy will be nonstatutory stock options, with an exercise price per share equal to 100% of the Fair Market Value (as defined in the Plan) of the underlying Common Stock on the date of grant, and a term of ten years from the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color w:val="auto"/>
        </w:rPr>
        <w:t>Exhibit 10.2</w:t>
      </w:r>
    </w:p>
    <w:p>
      <w:pPr>
        <w:spacing w:after="0" w:line="200" w:lineRule="exact"/>
        <w:rPr>
          <w:sz w:val="20"/>
          <w:szCs w:val="20"/>
          <w:color w:val="auto"/>
        </w:rPr>
      </w:pPr>
    </w:p>
    <w:p>
      <w:pPr>
        <w:spacing w:after="0" w:line="23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of grant (subject to earlier termination in connection with a termination of service as provided in the Plan). Such stock options shall remain exercisable following the termination of an Eligible Director’s Continuous Service (as defined in the Plan) to the Company until the earliest of (x) the date that is four years following such termination of Continuous Service, (y) the expiration date such option and (z) the later of (i) the number of full years of Continuous Service provided by such Eligible Director beginning with the initial date of such Eligible Director’s election or appointment to the Board and (ii) three months after termination of Continuous Service for any reason other than death or Disability (as defined in the Plan), 12 months after termination of Continuous Service due to Disability or 18 months if an Eligible Director dies while in Continuous Service. Notwithstanding the preceding sentence, stock options shall expire immediately upon termination of Continuous Service due to Cause (as defined in the Plan).</w:t>
      </w:r>
    </w:p>
    <w:p>
      <w:pPr>
        <w:spacing w:after="0" w:line="183" w:lineRule="exact"/>
        <w:rPr>
          <w:sz w:val="20"/>
          <w:szCs w:val="20"/>
          <w:color w:val="auto"/>
        </w:rPr>
      </w:pPr>
    </w:p>
    <w:p>
      <w:pPr>
        <w:jc w:val="both"/>
        <w:ind w:left="760" w:hanging="378"/>
        <w:spacing w:after="0" w:line="235" w:lineRule="auto"/>
        <w:tabs>
          <w:tab w:leader="none" w:pos="7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Initial Grants</w:t>
      </w:r>
      <w:r>
        <w:rPr>
          <w:rFonts w:ascii="Times New Roman" w:cs="Times New Roman" w:eastAsia="Times New Roman" w:hAnsi="Times New Roman"/>
          <w:sz w:val="22"/>
          <w:szCs w:val="22"/>
          <w:color w:val="auto"/>
        </w:rPr>
        <w:t>: For each Eligible Director who is first elected or appointed to the Board, on the date of such Eligible Director’s initial election or appointment to the Board (or, if such date is not a market trading day, the first market trading day thereafter), the Eligible Director will be automatically, and without further action by the Board or the Compensation Committee of the Board, granted a stock option to purchase 25,000 shares of Common Stock (the “</w:t>
      </w:r>
      <w:r>
        <w:rPr>
          <w:rFonts w:ascii="Times New Roman" w:cs="Times New Roman" w:eastAsia="Times New Roman" w:hAnsi="Times New Roman"/>
          <w:sz w:val="22"/>
          <w:szCs w:val="22"/>
          <w:b w:val="1"/>
          <w:bCs w:val="1"/>
          <w:i w:val="1"/>
          <w:iCs w:val="1"/>
          <w:color w:val="auto"/>
        </w:rPr>
        <w:t>Initial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Option Grant</w:t>
      </w:r>
      <w:r>
        <w:rPr>
          <w:rFonts w:ascii="Times New Roman" w:cs="Times New Roman" w:eastAsia="Times New Roman" w:hAnsi="Times New Roman"/>
          <w:sz w:val="22"/>
          <w:szCs w:val="22"/>
          <w:color w:val="auto"/>
        </w:rPr>
        <w:t>”). The shares subject to each Initial Option Grant will vest in equal monthly installments over a three year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period such that the option is fully vested on the third anniversary of the date of grant, subject to the Eligible Director’s Continuous Service through each such vesting date and will vest in full upon a Change in Control, subject to the Eligible Director’s Continuous Service through such date.</w:t>
      </w:r>
    </w:p>
    <w:p>
      <w:pPr>
        <w:spacing w:after="0" w:line="205" w:lineRule="exact"/>
        <w:rPr>
          <w:rFonts w:ascii="Times New Roman" w:cs="Times New Roman" w:eastAsia="Times New Roman" w:hAnsi="Times New Roman"/>
          <w:sz w:val="22"/>
          <w:szCs w:val="22"/>
          <w:color w:val="auto"/>
        </w:rPr>
      </w:pPr>
    </w:p>
    <w:p>
      <w:pPr>
        <w:jc w:val="both"/>
        <w:ind w:left="760" w:hanging="378"/>
        <w:spacing w:after="0" w:line="246" w:lineRule="auto"/>
        <w:tabs>
          <w:tab w:leader="none" w:pos="760"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Grants</w:t>
      </w:r>
      <w:r>
        <w:rPr>
          <w:rFonts w:ascii="Times New Roman" w:cs="Times New Roman" w:eastAsia="Times New Roman" w:hAnsi="Times New Roman"/>
          <w:sz w:val="21"/>
          <w:szCs w:val="21"/>
          <w:color w:val="auto"/>
        </w:rPr>
        <w:t>: On the date of each annual stockholder meeting of the Company, each Eligible Director who has served as a non-employee member of the Board for at least six months prior to such stockholder meeting and who continues to serve as a non-employee member of the Board following such stockholder meeting will be automatically, and without further action by the Board or the Compensation Committee of the Board, granted a stock option to purchase 12,500 shares of Common Stock (the “</w:t>
      </w:r>
      <w:r>
        <w:rPr>
          <w:rFonts w:ascii="Times New Roman" w:cs="Times New Roman" w:eastAsia="Times New Roman" w:hAnsi="Times New Roman"/>
          <w:sz w:val="21"/>
          <w:szCs w:val="21"/>
          <w:b w:val="1"/>
          <w:bCs w:val="1"/>
          <w:i w:val="1"/>
          <w:iCs w:val="1"/>
          <w:color w:val="auto"/>
        </w:rPr>
        <w:t>Annual Option Grant</w:t>
      </w:r>
      <w:r>
        <w:rPr>
          <w:rFonts w:ascii="Times New Roman" w:cs="Times New Roman" w:eastAsia="Times New Roman" w:hAnsi="Times New Roman"/>
          <w:sz w:val="21"/>
          <w:szCs w:val="21"/>
          <w:color w:val="auto"/>
        </w:rPr>
        <w:t>”). The shares subject to the Annual Option Grant will vest in equal monthly installments over a one year period such that the option is fully vested on the first anniversary of the date of grant, subject to the Eligible Director’s Continuous Service through each such vesting date; provided, that the Annual Option Grant will in any case be fully vested on the date of Company’s next annual stockholder meeting, subject to the Eligible Director’s Continuous Service through such vesting date; provided, further, that the Annual Option Grant will vest in full upon a Change in Control, subject to the Eligible Director’s Continuous Service through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W. Gerry, certify that:</w:t>
      </w:r>
    </w:p>
    <w:p>
      <w:pPr>
        <w:spacing w:after="0" w:line="225" w:lineRule="exact"/>
        <w:rPr>
          <w:sz w:val="20"/>
          <w:szCs w:val="20"/>
          <w:color w:val="auto"/>
        </w:rPr>
      </w:pPr>
    </w:p>
    <w:p>
      <w:pPr>
        <w:ind w:left="520" w:hanging="512"/>
        <w:spacing w:after="0"/>
        <w:tabs>
          <w:tab w:leader="none" w:pos="5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2026 of Sensei Biotherapeutics, Inc. (the “registrant”);</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2026</w:t>
            </w:r>
          </w:p>
        </w:tc>
        <w:tc>
          <w:tcPr>
            <w:tcW w:w="774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Christopher W. Gerry</w:t>
            </w:r>
          </w:p>
        </w:tc>
      </w:tr>
      <w:tr>
        <w:trPr>
          <w:trHeight w:val="191"/>
        </w:trPr>
        <w:tc>
          <w:tcPr>
            <w:tcW w:w="35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2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Christopher W. Gerry</w:t>
            </w:r>
          </w:p>
        </w:tc>
      </w:tr>
      <w:tr>
        <w:trPr>
          <w:trHeight w:val="216"/>
        </w:trPr>
        <w:tc>
          <w:tcPr>
            <w:tcW w:w="3500" w:type="dxa"/>
            <w:vAlign w:val="bottom"/>
          </w:tcPr>
          <w:p>
            <w:pPr>
              <w:spacing w:after="0"/>
              <w:rPr>
                <w:sz w:val="18"/>
                <w:szCs w:val="18"/>
                <w:color w:val="auto"/>
              </w:rPr>
            </w:pPr>
          </w:p>
        </w:tc>
        <w:tc>
          <w:tcPr>
            <w:tcW w:w="7740" w:type="dxa"/>
            <w:vAlign w:val="bottom"/>
            <w:gridSpan w:val="2"/>
          </w:tcPr>
          <w:p>
            <w:pPr>
              <w:ind w:left="2540"/>
              <w:spacing w:after="0"/>
              <w:rPr>
                <w:sz w:val="20"/>
                <w:szCs w:val="20"/>
                <w:color w:val="auto"/>
              </w:rPr>
            </w:pPr>
            <w:r>
              <w:rPr>
                <w:rFonts w:ascii="Times New Roman" w:cs="Times New Roman" w:eastAsia="Times New Roman" w:hAnsi="Times New Roman"/>
                <w:sz w:val="18"/>
                <w:szCs w:val="18"/>
                <w:color w:val="auto"/>
              </w:rPr>
              <w:t>President and General Counsel</w:t>
            </w:r>
          </w:p>
        </w:tc>
      </w:tr>
      <w:tr>
        <w:trPr>
          <w:trHeight w:val="234"/>
        </w:trPr>
        <w:tc>
          <w:tcPr>
            <w:tcW w:w="3500" w:type="dxa"/>
            <w:vAlign w:val="bottom"/>
          </w:tcPr>
          <w:p>
            <w:pPr>
              <w:spacing w:after="0"/>
              <w:rPr>
                <w:sz w:val="20"/>
                <w:szCs w:val="20"/>
                <w:color w:val="auto"/>
              </w:rPr>
            </w:pPr>
          </w:p>
        </w:tc>
        <w:tc>
          <w:tcPr>
            <w:tcW w:w="7740" w:type="dxa"/>
            <w:vAlign w:val="bottom"/>
            <w:gridSpan w:val="2"/>
          </w:tcPr>
          <w:p>
            <w:pPr>
              <w:ind w:left="254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627"/>
        </w:trPr>
        <w:tc>
          <w:tcPr>
            <w:tcW w:w="350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Josiah Craver, certify that:</w:t>
      </w:r>
    </w:p>
    <w:p>
      <w:pPr>
        <w:spacing w:after="0" w:line="225" w:lineRule="exact"/>
        <w:rPr>
          <w:sz w:val="20"/>
          <w:szCs w:val="20"/>
          <w:color w:val="auto"/>
        </w:rPr>
      </w:pPr>
    </w:p>
    <w:p>
      <w:pPr>
        <w:ind w:left="520" w:hanging="512"/>
        <w:spacing w:after="0"/>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2026 of Sensei Biotherapeutics, Inc. (the “registrant”);</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2026</w:t>
            </w:r>
          </w:p>
        </w:tc>
        <w:tc>
          <w:tcPr>
            <w:tcW w:w="790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By:   /s/ Josiah Craver</w:t>
            </w:r>
          </w:p>
        </w:tc>
      </w:tr>
      <w:tr>
        <w:trPr>
          <w:trHeight w:val="191"/>
        </w:trPr>
        <w:tc>
          <w:tcPr>
            <w:tcW w:w="33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5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Josiah Craver</w:t>
            </w:r>
          </w:p>
        </w:tc>
      </w:tr>
      <w:tr>
        <w:trPr>
          <w:trHeight w:val="216"/>
        </w:trPr>
        <w:tc>
          <w:tcPr>
            <w:tcW w:w="3340" w:type="dxa"/>
            <w:vAlign w:val="bottom"/>
          </w:tcPr>
          <w:p>
            <w:pPr>
              <w:spacing w:after="0"/>
              <w:rPr>
                <w:sz w:val="18"/>
                <w:szCs w:val="18"/>
                <w:color w:val="auto"/>
              </w:rPr>
            </w:pPr>
          </w:p>
        </w:tc>
        <w:tc>
          <w:tcPr>
            <w:tcW w:w="7900" w:type="dxa"/>
            <w:vAlign w:val="bottom"/>
            <w:gridSpan w:val="2"/>
          </w:tcPr>
          <w:p>
            <w:pPr>
              <w:ind w:left="2360"/>
              <w:spacing w:after="0"/>
              <w:rPr>
                <w:sz w:val="20"/>
                <w:szCs w:val="20"/>
                <w:color w:val="auto"/>
              </w:rPr>
            </w:pPr>
            <w:r>
              <w:rPr>
                <w:rFonts w:ascii="Times New Roman" w:cs="Times New Roman" w:eastAsia="Times New Roman" w:hAnsi="Times New Roman"/>
                <w:sz w:val="18"/>
                <w:szCs w:val="18"/>
                <w:color w:val="auto"/>
              </w:rPr>
              <w:t>Senior Vice President of Finance</w:t>
            </w:r>
          </w:p>
        </w:tc>
      </w:tr>
      <w:tr>
        <w:trPr>
          <w:trHeight w:val="234"/>
        </w:trPr>
        <w:tc>
          <w:tcPr>
            <w:tcW w:w="3340" w:type="dxa"/>
            <w:vAlign w:val="bottom"/>
          </w:tcPr>
          <w:p>
            <w:pPr>
              <w:spacing w:after="0"/>
              <w:rPr>
                <w:sz w:val="20"/>
                <w:szCs w:val="20"/>
                <w:color w:val="auto"/>
              </w:rPr>
            </w:pPr>
          </w:p>
        </w:tc>
        <w:tc>
          <w:tcPr>
            <w:tcW w:w="7900" w:type="dxa"/>
            <w:vAlign w:val="bottom"/>
            <w:gridSpan w:val="2"/>
          </w:tcPr>
          <w:p>
            <w:pPr>
              <w:ind w:left="2360"/>
              <w:spacing w:after="0"/>
              <w:rPr>
                <w:sz w:val="20"/>
                <w:szCs w:val="20"/>
                <w:color w:val="auto"/>
              </w:rPr>
            </w:pPr>
            <w:r>
              <w:rPr>
                <w:rFonts w:ascii="Times New Roman" w:cs="Times New Roman" w:eastAsia="Times New Roman" w:hAnsi="Times New Roman"/>
                <w:sz w:val="18"/>
                <w:szCs w:val="18"/>
                <w:color w:val="auto"/>
              </w:rPr>
              <w:t>(Principal Financial Officer and Accounting Officer)</w:t>
            </w:r>
          </w:p>
        </w:tc>
      </w:tr>
      <w:tr>
        <w:trPr>
          <w:trHeight w:val="1627"/>
        </w:trPr>
        <w:tc>
          <w:tcPr>
            <w:tcW w:w="334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5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EXECUTIVE OFFICER AND PRINCIPAL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20" w:firstLine="666"/>
        <w:spacing w:after="0" w:line="261"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Christopher W. Gerry, President, Chief Executive Officer and General Counsel of Sensei Biotherapeutics, Inc. (the “Company”), and Josiah Craver, Senior Vice President of Finance of the Company, each hereby certifies that, to the best of his knowledge:</w:t>
      </w:r>
    </w:p>
    <w:p>
      <w:pPr>
        <w:spacing w:after="0" w:line="180" w:lineRule="exact"/>
        <w:rPr>
          <w:sz w:val="20"/>
          <w:szCs w:val="20"/>
          <w:color w:val="auto"/>
        </w:rPr>
      </w:pPr>
    </w:p>
    <w:p>
      <w:pPr>
        <w:ind w:left="1020" w:right="60" w:hanging="503"/>
        <w:spacing w:after="0" w:line="282" w:lineRule="auto"/>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quarter ended March 31, 2026, to which this Certification is attached as Exhibit 32.1 (the “Quarterly Report”), fully complies with the requirements of Section 13(a) or Section 15(d) of the Exchange Act; and</w:t>
      </w:r>
    </w:p>
    <w:p>
      <w:pPr>
        <w:spacing w:after="0" w:line="161"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has set his hand hereto as of the 15th day of May 2026.</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W. Gerry</w:t>
            </w:r>
          </w:p>
        </w:tc>
        <w:tc>
          <w:tcPr>
            <w:tcW w:w="2240" w:type="dxa"/>
            <w:vAlign w:val="bottom"/>
          </w:tcPr>
          <w:p>
            <w:pPr>
              <w:spacing w:after="0"/>
              <w:rPr>
                <w:sz w:val="20"/>
                <w:szCs w:val="20"/>
                <w:color w:val="auto"/>
              </w:rPr>
            </w:pP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Josiah Craver</w:t>
            </w:r>
          </w:p>
        </w:tc>
      </w:tr>
      <w:tr>
        <w:trPr>
          <w:trHeight w:val="191"/>
        </w:trPr>
        <w:tc>
          <w:tcPr>
            <w:tcW w:w="4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Christopher W. Gerry</w:t>
            </w:r>
          </w:p>
        </w:tc>
        <w:tc>
          <w:tcPr>
            <w:tcW w:w="224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Josiah Craver</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General Counsel</w:t>
            </w:r>
          </w:p>
        </w:tc>
        <w:tc>
          <w:tcPr>
            <w:tcW w:w="2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of Finance</w:t>
            </w: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4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Accounting Officer)</w:t>
            </w:r>
          </w:p>
        </w:tc>
      </w:tr>
    </w:tbl>
    <w:p>
      <w:pPr>
        <w:spacing w:after="0" w:line="198" w:lineRule="exact"/>
        <w:rPr>
          <w:sz w:val="20"/>
          <w:szCs w:val="20"/>
          <w:color w:val="auto"/>
        </w:rPr>
      </w:pPr>
    </w:p>
    <w:p>
      <w:pPr>
        <w:ind w:right="40" w:firstLine="8"/>
        <w:spacing w:after="0" w:line="266" w:lineRule="auto"/>
        <w:tabs>
          <w:tab w:leader="none" w:pos="13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1" w:name="page102"/>
    <w:bookmarkEnd w:id="10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1."/>
      <w:numFmt w:val="decimal"/>
      <w:start w:val="1"/>
    </w:lvl>
  </w:abstractNum>
  <w:abstractNum w:abstractNumId="3">
    <w:nsid w:val="440BADFC"/>
    <w:multiLevelType w:val="hybridMultilevel"/>
    <w:lvl w:ilvl="0">
      <w:lvlJc w:val="left"/>
      <w:lvlText w:val="%1."/>
      <w:numFmt w:val="decimal"/>
      <w:start w:val="2"/>
    </w:lvl>
  </w:abstractNum>
  <w:abstractNum w:abstractNumId="4">
    <w:nsid w:val="5072367"/>
    <w:multiLevelType w:val="hybridMultilevel"/>
    <w:lvl w:ilvl="0">
      <w:lvlJc w:val="left"/>
      <w:lvlText w:val="%1."/>
      <w:numFmt w:val="decimal"/>
      <w:start w:val="7"/>
    </w:lvl>
  </w:abstractNum>
  <w:abstractNum w:abstractNumId="5">
    <w:nsid w:val="3804823E"/>
    <w:multiLevelType w:val="hybridMultilevel"/>
    <w:lvl w:ilvl="0">
      <w:lvlJc w:val="left"/>
      <w:lvlText w:val="•"/>
      <w:numFmt w:val="bullet"/>
      <w:start w:val="1"/>
    </w:lvl>
  </w:abstractNum>
  <w:abstractNum w:abstractNumId="6">
    <w:nsid w:val="77465F01"/>
    <w:multiLevelType w:val="hybridMultilevel"/>
    <w:lvl w:ilvl="0">
      <w:lvlJc w:val="left"/>
      <w:lvlText w:val="•"/>
      <w:numFmt w:val="bullet"/>
      <w:start w:val="1"/>
    </w:lvl>
  </w:abstractNum>
  <w:abstractNum w:abstractNumId="7">
    <w:nsid w:val="7724C67E"/>
    <w:multiLevelType w:val="hybridMultilevel"/>
    <w:lvl w:ilvl="0">
      <w:lvlJc w:val="left"/>
      <w:lvlText w:val="•"/>
      <w:numFmt w:val="bullet"/>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
      <w:numFmt w:val="bullet"/>
      <w:start w:val="1"/>
    </w:lvl>
  </w:abstractNum>
  <w:abstractNum w:abstractNumId="11">
    <w:nsid w:val="51EAD36B"/>
    <w:multiLevelType w:val="hybridMultilevel"/>
    <w:lvl w:ilvl="0">
      <w:lvlJc w:val="left"/>
      <w:lvlText w:val="•"/>
      <w:numFmt w:val="bullet"/>
      <w:start w:val="1"/>
    </w:lvl>
    <w:lvl w:ilvl="1">
      <w:lvlJc w:val="left"/>
      <w:lvlText w:val="•"/>
      <w:numFmt w:val="bullet"/>
      <w:start w:val="1"/>
    </w:lvl>
  </w:abstractNum>
  <w:abstractNum w:abstractNumId="12">
    <w:nsid w:val="2D517796"/>
    <w:multiLevelType w:val="hybridMultilevel"/>
    <w:lvl w:ilvl="0">
      <w:lvlJc w:val="left"/>
      <w:lvlText w:val="•"/>
      <w:numFmt w:val="bullet"/>
      <w:start w:val="1"/>
    </w:lvl>
    <w:lvl w:ilvl="1">
      <w:lvlJc w:val="left"/>
      <w:lvlText w:val="•"/>
      <w:numFmt w:val="bullet"/>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
      <w:numFmt w:val="bullet"/>
      <w:start w:val="1"/>
    </w:lvl>
  </w:abstractNum>
  <w:abstractNum w:abstractNumId="18">
    <w:nsid w:val="2A487CB0"/>
    <w:multiLevelType w:val="hybridMultilevel"/>
    <w:lvl w:ilvl="0">
      <w:lvlJc w:val="left"/>
      <w:lvlText w:val="•"/>
      <w:numFmt w:val="bullet"/>
      <w:start w:val="1"/>
    </w:lvl>
  </w:abstractNum>
  <w:abstractNum w:abstractNumId="19">
    <w:nsid w:val="1D4ED43B"/>
    <w:multiLevelType w:val="hybridMultilevel"/>
    <w:lvl w:ilvl="0">
      <w:lvlJc w:val="left"/>
      <w:lvlText w:val="•"/>
      <w:numFmt w:val="bullet"/>
      <w:start w:val="1"/>
    </w:lvl>
  </w:abstractNum>
  <w:abstractNum w:abstractNumId="20">
    <w:nsid w:val="725A06FB"/>
    <w:multiLevelType w:val="hybridMultilevel"/>
    <w:lvl w:ilvl="0">
      <w:lvlJc w:val="left"/>
      <w:lvlText w:val="•"/>
      <w:numFmt w:val="bullet"/>
      <w:start w:val="1"/>
    </w:lvl>
  </w:abstractNum>
  <w:abstractNum w:abstractNumId="21">
    <w:nsid w:val="2CD89A32"/>
    <w:multiLevelType w:val="hybridMultilevel"/>
    <w:lvl w:ilvl="0">
      <w:lvlJc w:val="left"/>
      <w:lvlText w:val="•"/>
      <w:numFmt w:val="bullet"/>
      <w:start w:val="1"/>
    </w:lvl>
  </w:abstractNum>
  <w:abstractNum w:abstractNumId="22">
    <w:nsid w:val="57E4CCAF"/>
    <w:multiLevelType w:val="hybridMultilevel"/>
    <w:lvl w:ilvl="0">
      <w:lvlJc w:val="left"/>
      <w:lvlText w:val="•"/>
      <w:numFmt w:val="bullet"/>
      <w:start w:val="1"/>
    </w:lvl>
  </w:abstractNum>
  <w:abstractNum w:abstractNumId="23">
    <w:nsid w:val="7A6D8D3C"/>
    <w:multiLevelType w:val="hybridMultilevel"/>
    <w:lvl w:ilvl="0">
      <w:lvlJc w:val="left"/>
      <w:lvlText w:val="•"/>
      <w:numFmt w:val="bullet"/>
      <w:start w:val="1"/>
    </w:lvl>
  </w:abstractNum>
  <w:abstractNum w:abstractNumId="24">
    <w:nsid w:val="4B588F54"/>
    <w:multiLevelType w:val="hybridMultilevel"/>
    <w:lvl w:ilvl="0">
      <w:lvlJc w:val="left"/>
      <w:lvlText w:val="•"/>
      <w:numFmt w:val="bullet"/>
      <w:start w:val="1"/>
    </w:lvl>
  </w:abstractNum>
  <w:abstractNum w:abstractNumId="25">
    <w:nsid w:val="542289EC"/>
    <w:multiLevelType w:val="hybridMultilevel"/>
    <w:lvl w:ilvl="0">
      <w:lvlJc w:val="left"/>
      <w:lvlText w:val="•"/>
      <w:numFmt w:val="bullet"/>
      <w:start w:val="1"/>
    </w:lvl>
  </w:abstractNum>
  <w:abstractNum w:abstractNumId="26">
    <w:nsid w:val="6DE91B18"/>
    <w:multiLevelType w:val="hybridMultilevel"/>
    <w:lvl w:ilvl="0">
      <w:lvlJc w:val="left"/>
      <w:lvlText w:val="•"/>
      <w:numFmt w:val="bullet"/>
      <w:start w:val="1"/>
    </w:lvl>
  </w:abstractNum>
  <w:abstractNum w:abstractNumId="27">
    <w:nsid w:val="38437FDB"/>
    <w:multiLevelType w:val="hybridMultilevel"/>
    <w:lvl w:ilvl="0">
      <w:lvlJc w:val="left"/>
      <w:lvlText w:val="•"/>
      <w:numFmt w:val="bullet"/>
      <w:start w:val="1"/>
    </w:lvl>
  </w:abstractNum>
  <w:abstractNum w:abstractNumId="28">
    <w:nsid w:val="7644A45C"/>
    <w:multiLevelType w:val="hybridMultilevel"/>
    <w:lvl w:ilvl="0">
      <w:lvlJc w:val="left"/>
      <w:lvlText w:val="•"/>
      <w:numFmt w:val="bullet"/>
      <w:start w:val="1"/>
    </w:lvl>
  </w:abstractNum>
  <w:abstractNum w:abstractNumId="29">
    <w:nsid w:val="32FFF902"/>
    <w:multiLevelType w:val="hybridMultilevel"/>
    <w:lvl w:ilvl="0">
      <w:lvlJc w:val="left"/>
      <w:lvlText w:val="(%1)"/>
      <w:numFmt w:val="decimal"/>
      <w:start w:val="1"/>
    </w:lvl>
  </w:abstractNum>
  <w:abstractNum w:abstractNumId="30">
    <w:nsid w:val="684A481A"/>
    <w:multiLevelType w:val="hybridMultilevel"/>
    <w:lvl w:ilvl="0">
      <w:lvlJc w:val="left"/>
      <w:lvlText w:val="•"/>
      <w:numFmt w:val="bullet"/>
      <w:start w:val="1"/>
    </w:lvl>
  </w:abstractNum>
  <w:abstractNum w:abstractNumId="31">
    <w:nsid w:val="579478FE"/>
    <w:multiLevelType w:val="hybridMultilevel"/>
    <w:lvl w:ilvl="0">
      <w:lvlJc w:val="left"/>
      <w:lvlText w:val="•"/>
      <w:numFmt w:val="bullet"/>
      <w:start w:val="1"/>
    </w:lvl>
  </w:abstractNum>
  <w:abstractNum w:abstractNumId="32">
    <w:nsid w:val="749ABB43"/>
    <w:multiLevelType w:val="hybridMultilevel"/>
    <w:lvl w:ilvl="0">
      <w:lvlJc w:val="left"/>
      <w:lvlText w:val="•"/>
      <w:numFmt w:val="bullet"/>
      <w:start w:val="1"/>
    </w:lvl>
  </w:abstractNum>
  <w:abstractNum w:abstractNumId="33">
    <w:nsid w:val="3DC240FB"/>
    <w:multiLevelType w:val="hybridMultilevel"/>
    <w:lvl w:ilvl="0">
      <w:lvlJc w:val="left"/>
      <w:lvlText w:val="(%1)"/>
      <w:numFmt w:val="decimal"/>
      <w:start w:val="11"/>
    </w:lvl>
  </w:abstractNum>
  <w:abstractNum w:abstractNumId="34">
    <w:nsid w:val="1BA026FA"/>
    <w:multiLevelType w:val="hybridMultilevel"/>
    <w:lvl w:ilvl="0">
      <w:lvlJc w:val="left"/>
      <w:lvlText w:val="•"/>
      <w:numFmt w:val="bullet"/>
      <w:start w:val="1"/>
    </w:lvl>
  </w:abstractNum>
  <w:abstractNum w:abstractNumId="35">
    <w:nsid w:val="79A1DEAA"/>
    <w:multiLevelType w:val="hybridMultilevel"/>
    <w:lvl w:ilvl="0">
      <w:lvlJc w:val="left"/>
      <w:lvlText w:val="•"/>
      <w:numFmt w:val="bullet"/>
      <w:start w:val="1"/>
    </w:lvl>
  </w:abstractNum>
  <w:abstractNum w:abstractNumId="36">
    <w:nsid w:val="75C6C33A"/>
    <w:multiLevelType w:val="hybridMultilevel"/>
    <w:lvl w:ilvl="0">
      <w:lvlJc w:val="left"/>
      <w:lvlText w:val="•"/>
      <w:numFmt w:val="bullet"/>
      <w:start w:val="1"/>
    </w:lvl>
  </w:abstractNum>
  <w:abstractNum w:abstractNumId="37">
    <w:nsid w:val="12E685FB"/>
    <w:multiLevelType w:val="hybridMultilevel"/>
    <w:lvl w:ilvl="0">
      <w:lvlJc w:val="left"/>
      <w:lvlText w:val="•"/>
      <w:numFmt w:val="bullet"/>
      <w:start w:val="1"/>
    </w:lvl>
  </w:abstractNum>
  <w:abstractNum w:abstractNumId="38">
    <w:nsid w:val="70C6A529"/>
    <w:multiLevelType w:val="hybridMultilevel"/>
    <w:lvl w:ilvl="0">
      <w:lvlJc w:val="left"/>
      <w:lvlText w:val="•"/>
      <w:numFmt w:val="bullet"/>
      <w:start w:val="1"/>
    </w:lvl>
  </w:abstractNum>
  <w:abstractNum w:abstractNumId="39">
    <w:nsid w:val="520EEDD1"/>
    <w:multiLevelType w:val="hybridMultilevel"/>
    <w:lvl w:ilvl="0">
      <w:lvlJc w:val="left"/>
      <w:lvlText w:val="•"/>
      <w:numFmt w:val="bullet"/>
      <w:start w:val="1"/>
    </w:lvl>
  </w:abstractNum>
  <w:abstractNum w:abstractNumId="40">
    <w:nsid w:val="374A3FE6"/>
    <w:multiLevelType w:val="hybridMultilevel"/>
    <w:lvl w:ilvl="0">
      <w:lvlJc w:val="left"/>
      <w:lvlText w:val="(%1)"/>
      <w:numFmt w:val="lowerLetter"/>
      <w:start w:val="1"/>
    </w:lvl>
  </w:abstractNum>
  <w:abstractNum w:abstractNumId="41">
    <w:nsid w:val="4F4EF005"/>
    <w:multiLevelType w:val="hybridMultilevel"/>
    <w:lvl w:ilvl="0">
      <w:lvlJc w:val="left"/>
      <w:lvlText w:val="*"/>
      <w:numFmt w:val="bullet"/>
      <w:start w:val="1"/>
    </w:lvl>
    <w:lvl w:ilvl="1">
      <w:lvlJc w:val="left"/>
      <w:lvlText w:val="%2"/>
      <w:numFmt w:val="decimal"/>
      <w:start w:val="104"/>
    </w:lvl>
  </w:abstractNum>
  <w:abstractNum w:abstractNumId="42">
    <w:nsid w:val="23F9C13C"/>
    <w:multiLevelType w:val="hybridMultilevel"/>
    <w:lvl w:ilvl="0">
      <w:lvlJc w:val="left"/>
      <w:lvlText w:val="**"/>
      <w:numFmt w:val="bullet"/>
      <w:start w:val="1"/>
    </w:lvl>
    <w:lvl w:ilvl="1">
      <w:lvlJc w:val="left"/>
      <w:lvlText w:val="%2"/>
      <w:numFmt w:val="decimal"/>
      <w:start w:val="1"/>
    </w:lvl>
  </w:abstractNum>
  <w:abstractNum w:abstractNumId="43">
    <w:nsid w:val="649BB77C"/>
    <w:multiLevelType w:val="hybridMultilevel"/>
    <w:lvl w:ilvl="0">
      <w:lvlJc w:val="left"/>
      <w:lvlText w:val="#"/>
      <w:numFmt w:val="bullet"/>
      <w:start w:val="1"/>
    </w:lvl>
  </w:abstractNum>
  <w:abstractNum w:abstractNumId="44">
    <w:nsid w:val="275AC794"/>
    <w:multiLevelType w:val="hybridMultilevel"/>
    <w:lvl w:ilvl="0">
      <w:lvlJc w:val="left"/>
      <w:lvlText w:val="%1."/>
      <w:numFmt w:val="decimal"/>
      <w:start w:val="1"/>
    </w:lvl>
  </w:abstractNum>
  <w:abstractNum w:abstractNumId="45">
    <w:nsid w:val="39386575"/>
    <w:multiLevelType w:val="hybridMultilevel"/>
    <w:lvl w:ilvl="0">
      <w:lvlJc w:val="left"/>
      <w:lvlText w:val="%1."/>
      <w:numFmt w:val="decimal"/>
      <w:start w:val="3"/>
    </w:lvl>
  </w:abstractNum>
  <w:abstractNum w:abstractNumId="46">
    <w:nsid w:val="1CF10FD8"/>
    <w:multiLevelType w:val="hybridMultilevel"/>
    <w:lvl w:ilvl="0">
      <w:lvlJc w:val="left"/>
      <w:lvlText w:val="%1."/>
      <w:numFmt w:val="decimal"/>
      <w:start w:val="4"/>
    </w:lvl>
  </w:abstractNum>
  <w:abstractNum w:abstractNumId="47">
    <w:nsid w:val="180115BE"/>
    <w:multiLevelType w:val="hybridMultilevel"/>
    <w:lvl w:ilvl="0">
      <w:lvlJc w:val="left"/>
      <w:lvlText w:val="%1."/>
      <w:numFmt w:val="decimal"/>
      <w:start w:val="5"/>
    </w:lvl>
  </w:abstractNum>
  <w:abstractNum w:abstractNumId="48">
    <w:nsid w:val="235BA861"/>
    <w:multiLevelType w:val="hybridMultilevel"/>
    <w:lvl w:ilvl="0">
      <w:lvlJc w:val="left"/>
      <w:lvlText w:val="%1."/>
      <w:numFmt w:val="decimal"/>
      <w:start w:val="6"/>
    </w:lvl>
  </w:abstractNum>
  <w:abstractNum w:abstractNumId="49">
    <w:nsid w:val="47398C89"/>
    <w:multiLevelType w:val="hybridMultilevel"/>
    <w:lvl w:ilvl="0">
      <w:lvlJc w:val="left"/>
      <w:lvlText w:val="%1."/>
      <w:numFmt w:val="decimal"/>
      <w:start w:val="9"/>
    </w:lvl>
  </w:abstractNum>
  <w:abstractNum w:abstractNumId="50">
    <w:nsid w:val="354FE9F9"/>
    <w:multiLevelType w:val="hybridMultilevel"/>
    <w:lvl w:ilvl="0">
      <w:lvlJc w:val="left"/>
      <w:lvlText w:val="%1."/>
      <w:numFmt w:val="decimal"/>
      <w:start w:val="13"/>
    </w:lvl>
  </w:abstractNum>
  <w:abstractNum w:abstractNumId="51">
    <w:nsid w:val="15B5AF5C"/>
    <w:multiLevelType w:val="hybridMultilevel"/>
    <w:lvl w:ilvl="0">
      <w:lvlJc w:val="left"/>
      <w:lvlText w:val="%1."/>
      <w:numFmt w:val="decimal"/>
      <w:start w:val="15"/>
    </w:lvl>
  </w:abstractNum>
  <w:abstractNum w:abstractNumId="52">
    <w:nsid w:val="741226BB"/>
    <w:multiLevelType w:val="hybridMultilevel"/>
    <w:lvl w:ilvl="0">
      <w:lvlJc w:val="left"/>
      <w:lvlText w:val="%1."/>
      <w:numFmt w:val="decimal"/>
      <w:start w:val="18"/>
    </w:lvl>
  </w:abstractNum>
  <w:abstractNum w:abstractNumId="53">
    <w:nsid w:val="D34B6A8"/>
    <w:multiLevelType w:val="hybridMultilevel"/>
    <w:lvl w:ilvl="0">
      <w:lvlJc w:val="left"/>
      <w:lvlText w:val="%1."/>
      <w:numFmt w:val="decimal"/>
      <w:start w:val="23"/>
    </w:lvl>
  </w:abstractNum>
  <w:abstractNum w:abstractNumId="54">
    <w:nsid w:val="10233C99"/>
    <w:multiLevelType w:val="hybridMultilevel"/>
    <w:lvl w:ilvl="0">
      <w:lvlJc w:val="left"/>
      <w:lvlText w:val="(%1)"/>
      <w:numFmt w:val="lowerLetter"/>
      <w:start w:val="1"/>
    </w:lvl>
  </w:abstractNum>
  <w:abstractNum w:abstractNumId="55">
    <w:nsid w:val="3F6AB60F"/>
    <w:multiLevelType w:val="hybridMultilevel"/>
    <w:lvl w:ilvl="0">
      <w:lvlJc w:val="left"/>
      <w:lvlText w:val="1"/>
      <w:numFmt w:val="bullet"/>
      <w:start w:val="1"/>
    </w:lvl>
  </w:abstractNum>
  <w:abstractNum w:abstractNumId="56">
    <w:nsid w:val="61574095"/>
    <w:multiLevelType w:val="hybridMultilevel"/>
    <w:lvl w:ilvl="0">
      <w:lvlJc w:val="left"/>
      <w:lvlText w:val="2"/>
      <w:numFmt w:val="bullet"/>
      <w:start w:val="1"/>
    </w:lvl>
  </w:abstractNum>
  <w:abstractNum w:abstractNumId="57">
    <w:nsid w:val="7E0C57B1"/>
    <w:multiLevelType w:val="hybridMultilevel"/>
    <w:lvl w:ilvl="0">
      <w:lvlJc w:val="left"/>
      <w:lvlText w:val="3"/>
      <w:numFmt w:val="bullet"/>
      <w:start w:val="1"/>
    </w:lvl>
  </w:abstractNum>
  <w:abstractNum w:abstractNumId="58">
    <w:nsid w:val="77AE35EB"/>
    <w:multiLevelType w:val="hybridMultilevel"/>
    <w:lvl w:ilvl="0">
      <w:lvlJc w:val="left"/>
      <w:lvlText w:val="4"/>
      <w:numFmt w:val="bullet"/>
      <w:start w:val="1"/>
    </w:lvl>
  </w:abstractNum>
  <w:abstractNum w:abstractNumId="59">
    <w:nsid w:val="579BE4F1"/>
    <w:multiLevelType w:val="hybridMultilevel"/>
    <w:lvl w:ilvl="0">
      <w:lvlJc w:val="left"/>
      <w:lvlText w:val="5"/>
      <w:numFmt w:val="bullet"/>
      <w:start w:val="1"/>
    </w:lvl>
  </w:abstractNum>
  <w:abstractNum w:abstractNumId="60">
    <w:nsid w:val="310C50B3"/>
    <w:multiLevelType w:val="hybridMultilevel"/>
    <w:lvl w:ilvl="0">
      <w:lvlJc w:val="left"/>
      <w:lvlText w:val="6"/>
      <w:numFmt w:val="bullet"/>
      <w:start w:val="1"/>
    </w:lvl>
  </w:abstractNum>
  <w:abstractNum w:abstractNumId="61">
    <w:nsid w:val="5FF87E05"/>
    <w:multiLevelType w:val="hybridMultilevel"/>
    <w:lvl w:ilvl="0">
      <w:lvlJc w:val="left"/>
      <w:lvlText w:val="%1."/>
      <w:numFmt w:val="decimal"/>
      <w:start w:val="1"/>
    </w:lvl>
    <w:lvl w:ilvl="1">
      <w:lvlJc w:val="left"/>
      <w:lvlText w:val="%2."/>
      <w:numFmt w:val="lowerLetter"/>
      <w:start w:val="1"/>
    </w:lvl>
  </w:abstractNum>
  <w:abstractNum w:abstractNumId="62">
    <w:nsid w:val="2F305DEF"/>
    <w:multiLevelType w:val="hybridMultilevel"/>
    <w:lvl w:ilvl="0">
      <w:lvlJc w:val="left"/>
      <w:lvlText w:val="%1."/>
      <w:numFmt w:val="decimal"/>
      <w:start w:val="1"/>
    </w:lvl>
  </w:abstractNum>
  <w:abstractNum w:abstractNumId="63">
    <w:nsid w:val="25A70BF7"/>
    <w:multiLevelType w:val="hybridMultilevel"/>
    <w:lvl w:ilvl="0">
      <w:lvlJc w:val="left"/>
      <w:lvlText w:val="%1."/>
      <w:numFmt w:val="decimal"/>
      <w:start w:val="1"/>
    </w:lvl>
    <w:lvl w:ilvl="1">
      <w:lvlJc w:val="left"/>
      <w:lvlText w:val="(%2)"/>
      <w:numFmt w:val="lowerLetter"/>
      <w:start w:val="1"/>
    </w:lvl>
  </w:abstractNum>
  <w:abstractNum w:abstractNumId="64">
    <w:nsid w:val="1DBABF00"/>
    <w:multiLevelType w:val="hybridMultilevel"/>
    <w:lvl w:ilvl="0">
      <w:lvlJc w:val="left"/>
      <w:lvlText w:val="%1."/>
      <w:numFmt w:val="decimal"/>
      <w:start w:val="1"/>
    </w:lvl>
    <w:lvl w:ilvl="1">
      <w:lvlJc w:val="left"/>
      <w:lvlText w:val="(%2)"/>
      <w:numFmt w:val="lowerLetter"/>
      <w:start w:val="1"/>
    </w:lvl>
  </w:abstractNum>
  <w:abstractNum w:abstractNumId="65">
    <w:nsid w:val="4AD084E9"/>
    <w:multiLevelType w:val="hybridMultilevel"/>
    <w:lvl w:ilvl="0">
      <w:lvlJc w:val="left"/>
      <w:lvlText w:val="(%1)"/>
      <w:numFmt w:val="decimal"/>
      <w:start w:val="1"/>
    </w:lvl>
  </w:abstractNum>
  <w:abstractNum w:abstractNumId="66">
    <w:nsid w:val="1F48EAA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9" Type="http://schemas.openxmlformats.org/officeDocument/2006/relationships/image" Target="media/image248.png"/><Relationship Id="rId260" Type="http://schemas.openxmlformats.org/officeDocument/2006/relationships/image" Target="media/image249.png"/><Relationship Id="rId261" Type="http://schemas.openxmlformats.org/officeDocument/2006/relationships/image" Target="media/image250.png"/><Relationship Id="rId263" Type="http://schemas.openxmlformats.org/officeDocument/2006/relationships/image" Target="media/image251.png"/><Relationship Id="rId264" Type="http://schemas.openxmlformats.org/officeDocument/2006/relationships/image" Target="media/image252.png"/><Relationship Id="rId266" Type="http://schemas.openxmlformats.org/officeDocument/2006/relationships/image" Target="media/image253.png"/><Relationship Id="rId267" Type="http://schemas.openxmlformats.org/officeDocument/2006/relationships/image" Target="media/image254.png"/><Relationship Id="rId268" Type="http://schemas.openxmlformats.org/officeDocument/2006/relationships/image" Target="media/image255.png"/><Relationship Id="rId269" Type="http://schemas.openxmlformats.org/officeDocument/2006/relationships/image" Target="media/image256.png"/><Relationship Id="rId270" Type="http://schemas.openxmlformats.org/officeDocument/2006/relationships/image" Target="media/image257.png"/><Relationship Id="rId271" Type="http://schemas.openxmlformats.org/officeDocument/2006/relationships/image" Target="media/image258.png"/><Relationship Id="rId272" Type="http://schemas.openxmlformats.org/officeDocument/2006/relationships/image" Target="media/image259.png"/><Relationship Id="rId273" Type="http://schemas.openxmlformats.org/officeDocument/2006/relationships/image" Target="media/image260.png"/><Relationship Id="rId274" Type="http://schemas.openxmlformats.org/officeDocument/2006/relationships/image" Target="media/image261.png"/><Relationship Id="rId275" Type="http://schemas.openxmlformats.org/officeDocument/2006/relationships/image" Target="media/image262.png"/><Relationship Id="rId276" Type="http://schemas.openxmlformats.org/officeDocument/2006/relationships/image" Target="media/image263.png"/><Relationship Id="rId277" Type="http://schemas.openxmlformats.org/officeDocument/2006/relationships/image" Target="media/image264.png"/><Relationship Id="rId278" Type="http://schemas.openxmlformats.org/officeDocument/2006/relationships/image" Target="media/image265.png"/><Relationship Id="rId279" Type="http://schemas.openxmlformats.org/officeDocument/2006/relationships/image" Target="media/image266.png"/><Relationship Id="rId280" Type="http://schemas.openxmlformats.org/officeDocument/2006/relationships/image" Target="media/image267.png"/><Relationship Id="rId281" Type="http://schemas.openxmlformats.org/officeDocument/2006/relationships/image" Target="media/image268.png"/><Relationship Id="rId282" Type="http://schemas.openxmlformats.org/officeDocument/2006/relationships/image" Target="media/image269.png"/><Relationship Id="rId283" Type="http://schemas.openxmlformats.org/officeDocument/2006/relationships/image" Target="media/image270.png"/><Relationship Id="rId284" Type="http://schemas.openxmlformats.org/officeDocument/2006/relationships/image" Target="media/image271.png"/><Relationship Id="rId285" Type="http://schemas.openxmlformats.org/officeDocument/2006/relationships/image" Target="media/image272.png"/><Relationship Id="rId286" Type="http://schemas.openxmlformats.org/officeDocument/2006/relationships/image" Target="media/image273.png"/><Relationship Id="rId287" Type="http://schemas.openxmlformats.org/officeDocument/2006/relationships/image" Target="media/image274.png"/><Relationship Id="rId288" Type="http://schemas.openxmlformats.org/officeDocument/2006/relationships/image" Target="media/image275.png"/><Relationship Id="rId289" Type="http://schemas.openxmlformats.org/officeDocument/2006/relationships/image" Target="media/image276.png"/><Relationship Id="rId290" Type="http://schemas.openxmlformats.org/officeDocument/2006/relationships/image" Target="media/image277.png"/><Relationship Id="rId291" Type="http://schemas.openxmlformats.org/officeDocument/2006/relationships/image" Target="media/image278.png"/><Relationship Id="rId292" Type="http://schemas.openxmlformats.org/officeDocument/2006/relationships/image" Target="media/image279.png"/><Relationship Id="rId293" Type="http://schemas.openxmlformats.org/officeDocument/2006/relationships/image" Target="media/image280.png"/><Relationship Id="rId294" Type="http://schemas.openxmlformats.org/officeDocument/2006/relationships/image" Target="media/image281.png"/><Relationship Id="rId295" Type="http://schemas.openxmlformats.org/officeDocument/2006/relationships/image" Target="media/image282.png"/><Relationship Id="rId296" Type="http://schemas.openxmlformats.org/officeDocument/2006/relationships/image" Target="media/image283.png"/><Relationship Id="rId297" Type="http://schemas.openxmlformats.org/officeDocument/2006/relationships/image" Target="media/image284.png"/><Relationship Id="rId298" Type="http://schemas.openxmlformats.org/officeDocument/2006/relationships/image" Target="media/image285.png"/><Relationship Id="rId299" Type="http://schemas.openxmlformats.org/officeDocument/2006/relationships/image" Target="media/image286.png"/><Relationship Id="rId300" Type="http://schemas.openxmlformats.org/officeDocument/2006/relationships/image" Target="media/image287.png"/><Relationship Id="rId301" Type="http://schemas.openxmlformats.org/officeDocument/2006/relationships/image" Target="media/image288.png"/><Relationship Id="rId255" Type="http://schemas.openxmlformats.org/officeDocument/2006/relationships/hyperlink" Target="https://www.sec.gov/Archives/edgar/data/1829802/000119312521037280/d95909dex31.htm" TargetMode="External"/><Relationship Id="rId256" Type="http://schemas.openxmlformats.org/officeDocument/2006/relationships/hyperlink" Target="https://www.sec.gov/Archives/edgar/data/1829802/000119312525140329/d945713dex31.htm" TargetMode="External"/><Relationship Id="rId257" Type="http://schemas.openxmlformats.org/officeDocument/2006/relationships/hyperlink" Target="https://www.sec.gov/Archives/edgar/data/1829802/000119312522301836/d514100dex31.htm" TargetMode="External"/><Relationship Id="rId258" Type="http://schemas.openxmlformats.org/officeDocument/2006/relationships/hyperlink" Target="https://www.sec.gov/Archives/edgar/data/1829802/000119312523063093/d470819dex31.htm" TargetMode="External"/><Relationship Id="rId262" Type="http://schemas.openxmlformats.org/officeDocument/2006/relationships/hyperlink" Target="https://www.sec.gov/Archives/edgar/data/1829802/000095017025046338/snse-ex3_4.htm" TargetMode="External"/><Relationship Id="rId265" Type="http://schemas.openxmlformats.org/officeDocument/2006/relationships/hyperlink" Target="https://www.sec.gov/Archives/edgar/data/1829802/000119312526056135/d112826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2026-05-15T06:44:24Z</dcterms:created>
  <dcterms:modified xsi:type="dcterms:W3CDTF">2026-05-15T06:44:24Z</dcterms:modified>
</cp:coreProperties>
</file>