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(Rule 13d-101)</w:t>
      </w:r>
    </w:p>
    <w:p>
      <w:pPr>
        <w:spacing w:after="0" w:line="207" w:lineRule="exact"/>
        <w:rPr>
          <w:sz w:val="24"/>
          <w:szCs w:val="24"/>
          <w:color w:val="auto"/>
        </w:rPr>
      </w:pPr>
    </w:p>
    <w:p>
      <w:pPr>
        <w:jc w:val="center"/>
        <w:ind w:left="340" w:right="2700"/>
        <w:spacing w:after="0" w:line="266" w:lineRule="auto"/>
        <w:rPr>
          <w:sz w:val="20"/>
          <w:szCs w:val="20"/>
          <w:color w:val="auto"/>
        </w:rPr>
      </w:pPr>
      <w:r>
        <w:rPr>
          <w:rFonts w:ascii="Times New Roman" w:cs="Times New Roman" w:eastAsia="Times New Roman" w:hAnsi="Times New Roman"/>
          <w:sz w:val="18"/>
          <w:szCs w:val="18"/>
          <w:color w:val="auto"/>
        </w:rPr>
        <w:t>INFORMATION TO BE INCLUDED IN STATEMENTS FILED PURSUANT TO § 240.13d-1(a) AND AMENDMENTS THERETO FILED PURSUANT TO § 240.13d-2(a)</w:t>
      </w:r>
    </w:p>
    <w:p>
      <w:pPr>
        <w:spacing w:after="0" w:line="17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(Amendment No. )</w:t>
      </w:r>
      <w:r>
        <w:rPr>
          <w:rFonts w:ascii="Times New Roman" w:cs="Times New Roman" w:eastAsia="Times New Roman" w:hAnsi="Times New Roman"/>
          <w:sz w:val="29"/>
          <w:szCs w:val="29"/>
          <w:color w:val="auto"/>
          <w:vertAlign w:val="superscript"/>
        </w:rPr>
        <w:t>1</w:t>
      </w:r>
    </w:p>
    <w:p>
      <w:pPr>
        <w:spacing w:after="0" w:line="13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Sensei Biotherapeutics, Inc.</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Common Stock, $0.0001 par value per share</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81728A108</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(CUSIP Number)</w:t>
      </w:r>
    </w:p>
    <w:p>
      <w:pPr>
        <w:spacing w:after="0" w:line="2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Julien Hoefer</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Apeiron Investment Group, Ltd.</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Beatrice, at 66 &amp; 67 Amery Street</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SLM1707, Sliema, Malta</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+356 9960 9158</w:t>
      </w:r>
    </w:p>
    <w:p>
      <w:pPr>
        <w:spacing w:after="0" w:line="2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STEVE WOLOSKY ESQ.</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OLSHAN FROME WOLOSKY LLP</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1325 Avenue of the Americas</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(212) 451-2333</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July 14, 2022</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ind w:right="40"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77" w:lineRule="exact"/>
        <w:rPr>
          <w:sz w:val="24"/>
          <w:szCs w:val="24"/>
          <w:color w:val="auto"/>
        </w:rPr>
      </w:pPr>
    </w:p>
    <w:p>
      <w:pPr>
        <w:ind w:right="2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w:t>
      </w:r>
      <w:r>
        <w:rPr>
          <w:rFonts w:ascii="Times New Roman" w:cs="Times New Roman" w:eastAsia="Times New Roman" w:hAnsi="Times New Roman"/>
          <w:sz w:val="18"/>
          <w:szCs w:val="18"/>
          <w:i w:val="1"/>
          <w:iCs w:val="1"/>
          <w:color w:val="auto"/>
        </w:rPr>
        <w:t xml:space="preserve"> See </w:t>
      </w:r>
      <w:r>
        <w:rPr>
          <w:rFonts w:ascii="Times New Roman" w:cs="Times New Roman" w:eastAsia="Times New Roman" w:hAnsi="Times New Roman"/>
          <w:sz w:val="18"/>
          <w:szCs w:val="18"/>
          <w:color w:val="auto"/>
        </w:rPr>
        <w:t>§ 240.13d-7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parties to whom copies are to be sent.</w:t>
      </w:r>
    </w:p>
    <w:p>
      <w:pPr>
        <w:spacing w:after="0" w:line="16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66" w:lineRule="exact"/>
        <w:rPr>
          <w:sz w:val="24"/>
          <w:szCs w:val="24"/>
          <w:color w:val="auto"/>
        </w:rPr>
      </w:pPr>
    </w:p>
    <w:p>
      <w:pPr>
        <w:ind w:firstLine="8"/>
        <w:spacing w:after="0" w:line="195" w:lineRule="auto"/>
        <w:tabs>
          <w:tab w:leader="none" w:pos="387" w:val="left"/>
        </w:tabs>
        <w:numPr>
          <w:ilvl w:val="0"/>
          <w:numId w:val="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0" w:lineRule="exact"/>
        <w:rPr>
          <w:sz w:val="24"/>
          <w:szCs w:val="24"/>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81728A108</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color w:val="auto"/>
              </w:rPr>
              <w:t>Presight Sensei Co-Invest Fund, L.P.</w:t>
            </w:r>
          </w:p>
        </w:tc>
        <w:tc>
          <w:tcPr>
            <w:tcW w:w="118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Times New Roman" w:cs="Times New Roman" w:eastAsia="Times New Roman" w:hAnsi="Times New Roman"/>
                <w:sz w:val="18"/>
                <w:szCs w:val="18"/>
                <w:color w:val="auto"/>
                <w:w w:val="88"/>
              </w:rPr>
              <w:t>2</w:t>
            </w:r>
          </w:p>
        </w:tc>
        <w:tc>
          <w:tcPr>
            <w:tcW w:w="8340" w:type="dxa"/>
            <w:vAlign w:val="bottom"/>
            <w:gridSpan w:val="3"/>
          </w:tcPr>
          <w:p>
            <w:pPr>
              <w:ind w:left="12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180" w:type="dxa"/>
            <w:vAlign w:val="bottom"/>
            <w:tcBorders>
              <w:right w:val="single" w:sz="8" w:color="auto"/>
            </w:tcBorders>
          </w:tcPr>
          <w:p>
            <w:pPr>
              <w:ind w:left="8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58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SOURCE OF FUNDS</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WC</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5</w:t>
            </w:r>
          </w:p>
        </w:tc>
        <w:tc>
          <w:tcPr>
            <w:tcW w:w="8340" w:type="dxa"/>
            <w:vAlign w:val="bottom"/>
            <w:gridSpan w:val="3"/>
          </w:tcPr>
          <w:p>
            <w:pPr>
              <w:ind w:left="120"/>
              <w:spacing w:after="0" w:line="191"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2(e)</w:t>
            </w:r>
          </w:p>
        </w:tc>
        <w:tc>
          <w:tcPr>
            <w:tcW w:w="65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7</w:t>
            </w:r>
          </w:p>
        </w:tc>
        <w:tc>
          <w:tcPr>
            <w:tcW w:w="60" w:type="dxa"/>
            <w:vAlign w:val="bottom"/>
          </w:tcPr>
          <w:p>
            <w:pPr>
              <w:spacing w:after="0"/>
              <w:rPr>
                <w:sz w:val="16"/>
                <w:szCs w:val="16"/>
                <w:color w:val="auto"/>
              </w:rPr>
            </w:pPr>
          </w:p>
        </w:tc>
        <w:tc>
          <w:tcPr>
            <w:tcW w:w="65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Pr>
          <w:p>
            <w:pPr>
              <w:spacing w:after="0"/>
              <w:rPr>
                <w:sz w:val="16"/>
                <w:szCs w:val="16"/>
                <w:color w:val="auto"/>
              </w:rPr>
            </w:pPr>
          </w:p>
        </w:tc>
        <w:tc>
          <w:tcPr>
            <w:tcW w:w="65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955,738</w:t>
            </w:r>
          </w:p>
        </w:tc>
        <w:tc>
          <w:tcPr>
            <w:tcW w:w="118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955,738</w:t>
            </w: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955,738</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PN</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8"/>
                <w:szCs w:val="18"/>
                <w:color w:val="auto"/>
              </w:rPr>
              <w:t>2</w:t>
            </w: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81728A108</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color w:val="auto"/>
              </w:rPr>
              <w:t>Presight Sensei Co-Invest Management, L.L.C.</w:t>
            </w:r>
          </w:p>
        </w:tc>
        <w:tc>
          <w:tcPr>
            <w:tcW w:w="118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Times New Roman" w:cs="Times New Roman" w:eastAsia="Times New Roman" w:hAnsi="Times New Roman"/>
                <w:sz w:val="18"/>
                <w:szCs w:val="18"/>
                <w:color w:val="auto"/>
                <w:w w:val="88"/>
              </w:rPr>
              <w:t>2</w:t>
            </w:r>
          </w:p>
        </w:tc>
        <w:tc>
          <w:tcPr>
            <w:tcW w:w="8340" w:type="dxa"/>
            <w:vAlign w:val="bottom"/>
            <w:gridSpan w:val="3"/>
          </w:tcPr>
          <w:p>
            <w:pPr>
              <w:ind w:left="12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180" w:type="dxa"/>
            <w:vAlign w:val="bottom"/>
            <w:tcBorders>
              <w:right w:val="single" w:sz="8" w:color="auto"/>
            </w:tcBorders>
          </w:tcPr>
          <w:p>
            <w:pPr>
              <w:ind w:left="8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58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SOURCE OF FUNDS</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AF</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5</w:t>
            </w:r>
          </w:p>
        </w:tc>
        <w:tc>
          <w:tcPr>
            <w:tcW w:w="8340" w:type="dxa"/>
            <w:vAlign w:val="bottom"/>
            <w:gridSpan w:val="3"/>
          </w:tcPr>
          <w:p>
            <w:pPr>
              <w:ind w:left="120"/>
              <w:spacing w:after="0" w:line="191"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2(e)</w:t>
            </w:r>
          </w:p>
        </w:tc>
        <w:tc>
          <w:tcPr>
            <w:tcW w:w="65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7</w:t>
            </w:r>
          </w:p>
        </w:tc>
        <w:tc>
          <w:tcPr>
            <w:tcW w:w="60" w:type="dxa"/>
            <w:vAlign w:val="bottom"/>
          </w:tcPr>
          <w:p>
            <w:pPr>
              <w:spacing w:after="0"/>
              <w:rPr>
                <w:sz w:val="16"/>
                <w:szCs w:val="16"/>
                <w:color w:val="auto"/>
              </w:rPr>
            </w:pPr>
          </w:p>
        </w:tc>
        <w:tc>
          <w:tcPr>
            <w:tcW w:w="65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Pr>
          <w:p>
            <w:pPr>
              <w:spacing w:after="0"/>
              <w:rPr>
                <w:sz w:val="16"/>
                <w:szCs w:val="16"/>
                <w:color w:val="auto"/>
              </w:rPr>
            </w:pPr>
          </w:p>
        </w:tc>
        <w:tc>
          <w:tcPr>
            <w:tcW w:w="65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955,738</w:t>
            </w:r>
          </w:p>
        </w:tc>
        <w:tc>
          <w:tcPr>
            <w:tcW w:w="118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955,738</w:t>
            </w: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955,738</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OO</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r>
        <w:trPr>
          <w:trHeight w:val="547"/>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8"/>
                <w:szCs w:val="18"/>
                <w:color w:val="auto"/>
              </w:rPr>
              <w:t>3</w:t>
            </w: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81728A108</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color w:val="auto"/>
              </w:rPr>
              <w:t>Apeiron Investment Group, Ltd.</w:t>
            </w:r>
          </w:p>
        </w:tc>
        <w:tc>
          <w:tcPr>
            <w:tcW w:w="118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Times New Roman" w:cs="Times New Roman" w:eastAsia="Times New Roman" w:hAnsi="Times New Roman"/>
                <w:sz w:val="18"/>
                <w:szCs w:val="18"/>
                <w:color w:val="auto"/>
                <w:w w:val="88"/>
              </w:rPr>
              <w:t>2</w:t>
            </w:r>
          </w:p>
        </w:tc>
        <w:tc>
          <w:tcPr>
            <w:tcW w:w="8340" w:type="dxa"/>
            <w:vAlign w:val="bottom"/>
            <w:gridSpan w:val="3"/>
          </w:tcPr>
          <w:p>
            <w:pPr>
              <w:ind w:left="12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180" w:type="dxa"/>
            <w:vAlign w:val="bottom"/>
            <w:tcBorders>
              <w:right w:val="single" w:sz="8" w:color="auto"/>
            </w:tcBorders>
          </w:tcPr>
          <w:p>
            <w:pPr>
              <w:ind w:left="8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58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SOURCE OF FUNDS</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WC, AF</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5</w:t>
            </w:r>
          </w:p>
        </w:tc>
        <w:tc>
          <w:tcPr>
            <w:tcW w:w="8340" w:type="dxa"/>
            <w:vAlign w:val="bottom"/>
            <w:gridSpan w:val="3"/>
          </w:tcPr>
          <w:p>
            <w:pPr>
              <w:ind w:left="120"/>
              <w:spacing w:after="0" w:line="191"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2(e)</w:t>
            </w:r>
          </w:p>
        </w:tc>
        <w:tc>
          <w:tcPr>
            <w:tcW w:w="65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Malta</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7</w:t>
            </w:r>
          </w:p>
        </w:tc>
        <w:tc>
          <w:tcPr>
            <w:tcW w:w="60" w:type="dxa"/>
            <w:vAlign w:val="bottom"/>
          </w:tcPr>
          <w:p>
            <w:pPr>
              <w:spacing w:after="0"/>
              <w:rPr>
                <w:sz w:val="16"/>
                <w:szCs w:val="16"/>
                <w:color w:val="auto"/>
              </w:rPr>
            </w:pPr>
          </w:p>
        </w:tc>
        <w:tc>
          <w:tcPr>
            <w:tcW w:w="65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Pr>
          <w:p>
            <w:pPr>
              <w:spacing w:after="0"/>
              <w:rPr>
                <w:sz w:val="16"/>
                <w:szCs w:val="16"/>
                <w:color w:val="auto"/>
              </w:rPr>
            </w:pPr>
          </w:p>
        </w:tc>
        <w:tc>
          <w:tcPr>
            <w:tcW w:w="65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3,439,461</w:t>
            </w:r>
          </w:p>
        </w:tc>
        <w:tc>
          <w:tcPr>
            <w:tcW w:w="118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3,439,461</w:t>
            </w: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3,439,461</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11.2%</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CO</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8"/>
                <w:szCs w:val="18"/>
                <w:color w:val="auto"/>
              </w:rPr>
              <w:t>4</w:t>
            </w: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81728A108</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color w:val="auto"/>
              </w:rPr>
              <w:t>Christian Angermayer</w:t>
            </w:r>
          </w:p>
        </w:tc>
        <w:tc>
          <w:tcPr>
            <w:tcW w:w="118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Times New Roman" w:cs="Times New Roman" w:eastAsia="Times New Roman" w:hAnsi="Times New Roman"/>
                <w:sz w:val="18"/>
                <w:szCs w:val="18"/>
                <w:color w:val="auto"/>
                <w:w w:val="88"/>
              </w:rPr>
              <w:t>2</w:t>
            </w:r>
          </w:p>
        </w:tc>
        <w:tc>
          <w:tcPr>
            <w:tcW w:w="8340" w:type="dxa"/>
            <w:vAlign w:val="bottom"/>
            <w:gridSpan w:val="3"/>
          </w:tcPr>
          <w:p>
            <w:pPr>
              <w:ind w:left="12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180" w:type="dxa"/>
            <w:vAlign w:val="bottom"/>
            <w:tcBorders>
              <w:right w:val="single" w:sz="8" w:color="auto"/>
            </w:tcBorders>
          </w:tcPr>
          <w:p>
            <w:pPr>
              <w:ind w:left="8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58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SOURCE OF FUNDS</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AF</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5</w:t>
            </w:r>
          </w:p>
        </w:tc>
        <w:tc>
          <w:tcPr>
            <w:tcW w:w="8340" w:type="dxa"/>
            <w:vAlign w:val="bottom"/>
            <w:gridSpan w:val="3"/>
          </w:tcPr>
          <w:p>
            <w:pPr>
              <w:ind w:left="120"/>
              <w:spacing w:after="0" w:line="191"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2(e)</w:t>
            </w:r>
          </w:p>
        </w:tc>
        <w:tc>
          <w:tcPr>
            <w:tcW w:w="65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color w:val="auto"/>
              </w:rPr>
              <w:t>Federal Republic of Germany</w:t>
            </w:r>
          </w:p>
        </w:tc>
        <w:tc>
          <w:tcPr>
            <w:tcW w:w="118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7</w:t>
            </w:r>
          </w:p>
        </w:tc>
        <w:tc>
          <w:tcPr>
            <w:tcW w:w="60" w:type="dxa"/>
            <w:vAlign w:val="bottom"/>
          </w:tcPr>
          <w:p>
            <w:pPr>
              <w:spacing w:after="0"/>
              <w:rPr>
                <w:sz w:val="16"/>
                <w:szCs w:val="16"/>
                <w:color w:val="auto"/>
              </w:rPr>
            </w:pPr>
          </w:p>
        </w:tc>
        <w:tc>
          <w:tcPr>
            <w:tcW w:w="65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Pr>
          <w:p>
            <w:pPr>
              <w:spacing w:after="0"/>
              <w:rPr>
                <w:sz w:val="16"/>
                <w:szCs w:val="16"/>
                <w:color w:val="auto"/>
              </w:rPr>
            </w:pPr>
          </w:p>
        </w:tc>
        <w:tc>
          <w:tcPr>
            <w:tcW w:w="65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3,439,461</w:t>
            </w:r>
          </w:p>
        </w:tc>
        <w:tc>
          <w:tcPr>
            <w:tcW w:w="118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3,439,461</w:t>
            </w: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3,439,461</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11.2%</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IN</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r>
        <w:trPr>
          <w:trHeight w:val="547"/>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8"/>
                <w:szCs w:val="18"/>
                <w:color w:val="auto"/>
              </w:rPr>
              <w:t>5</w:t>
            </w: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CUSIP No. 81728A108</w:t>
      </w:r>
    </w:p>
    <w:p>
      <w:pPr>
        <w:spacing w:after="0" w:line="3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constitutes the Schedule 13D filed by the undersigned (the “Schedule 13D”).</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1.</w:t>
      </w:r>
      <w:r>
        <w:rPr>
          <w:sz w:val="20"/>
          <w:szCs w:val="20"/>
          <w:color w:val="auto"/>
        </w:rPr>
        <w:tab/>
      </w:r>
      <w:r>
        <w:rPr>
          <w:rFonts w:ascii="Times New Roman" w:cs="Times New Roman" w:eastAsia="Times New Roman" w:hAnsi="Times New Roman"/>
          <w:sz w:val="17"/>
          <w:szCs w:val="17"/>
          <w:u w:val="single" w:color="auto"/>
          <w:color w:val="auto"/>
        </w:rPr>
        <w:t>Security and Issuer</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This statement relates to the Common Stock, $0.0001 par value per share (the “Shares”), of Sensei Biotherapeutics, Inc., a Delaware corporation (the “Issuer”). The address of the principal executive offices of the Issuer is 451 D Street, Suite 710, Boston, Massachusetts 02210.</w:t>
      </w:r>
    </w:p>
    <w:p>
      <w:pPr>
        <w:spacing w:after="0" w:line="16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2.</w:t>
      </w:r>
      <w:r>
        <w:rPr>
          <w:sz w:val="20"/>
          <w:szCs w:val="20"/>
          <w:color w:val="auto"/>
        </w:rPr>
        <w:tab/>
      </w:r>
      <w:r>
        <w:rPr>
          <w:rFonts w:ascii="Times New Roman" w:cs="Times New Roman" w:eastAsia="Times New Roman" w:hAnsi="Times New Roman"/>
          <w:sz w:val="18"/>
          <w:szCs w:val="18"/>
          <w:u w:val="single" w:color="auto"/>
          <w:color w:val="auto"/>
        </w:rPr>
        <w:t>Identity and Background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820" w:hanging="516"/>
        <w:spacing w:after="0"/>
        <w:tabs>
          <w:tab w:leader="none" w:pos="1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statement is filed by:</w:t>
      </w:r>
    </w:p>
    <w:p>
      <w:pPr>
        <w:spacing w:after="0" w:line="225"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Presight Sensei Co-Invest Fund, L.P., a Delaware limited partnership (“Presight Co-Invest”), with respect to the Shares directly and beneficially owned by it;</w:t>
      </w:r>
    </w:p>
    <w:p>
      <w:pPr>
        <w:spacing w:after="0" w:line="161"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Presight Sensei Co-Invest Management, L.L.C., a Delaware limited liability company (“Presight Co-Invest Management”), as the general partner of Presight Co-Invest;</w:t>
      </w:r>
    </w:p>
    <w:p>
      <w:pPr>
        <w:spacing w:after="0" w:line="161"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Apeiron Investment Group, Ltd., a Malta private limited company (“Apeiron”), with respect to the Shares directly and beneficially owned by it and as the parent company of Presight Co-Invest Management; and</w:t>
      </w:r>
    </w:p>
    <w:p>
      <w:pPr>
        <w:spacing w:after="0" w:line="161"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Christian Angermayer, as the majority shareholder of Apeiron.</w:t>
      </w:r>
    </w:p>
    <w:p>
      <w:pPr>
        <w:spacing w:after="0" w:line="225" w:lineRule="exact"/>
        <w:rPr>
          <w:sz w:val="20"/>
          <w:szCs w:val="20"/>
          <w:color w:val="auto"/>
        </w:rPr>
      </w:pPr>
    </w:p>
    <w:p>
      <w:pPr>
        <w:jc w:val="both"/>
        <w:ind w:firstLine="1287"/>
        <w:spacing w:after="0" w:line="282" w:lineRule="auto"/>
        <w:rPr>
          <w:sz w:val="20"/>
          <w:szCs w:val="20"/>
          <w:color w:val="auto"/>
        </w:rPr>
      </w:pPr>
      <w:r>
        <w:rPr>
          <w:rFonts w:ascii="Times New Roman" w:cs="Times New Roman" w:eastAsia="Times New Roman" w:hAnsi="Times New Roman"/>
          <w:sz w:val="18"/>
          <w:szCs w:val="18"/>
          <w:color w:val="auto"/>
        </w:rPr>
        <w:t>Each of the foregoing is referred to as a “Reporting Person” and collectively as the “Reporting Persons.” Each of the Reporting Persons is party to that certain Joint Filing Agreement, as further described in Item 6. Accordingly, the Reporting Persons are hereby filing a joint Schedule 13D.</w:t>
      </w:r>
    </w:p>
    <w:p>
      <w:pPr>
        <w:spacing w:after="0" w:line="162" w:lineRule="exact"/>
        <w:rPr>
          <w:sz w:val="20"/>
          <w:szCs w:val="20"/>
          <w:color w:val="auto"/>
        </w:rPr>
      </w:pPr>
    </w:p>
    <w:p>
      <w:pPr>
        <w:jc w:val="both"/>
        <w:ind w:firstLine="1287"/>
        <w:spacing w:after="0" w:line="261" w:lineRule="auto"/>
        <w:rPr>
          <w:sz w:val="20"/>
          <w:szCs w:val="20"/>
          <w:color w:val="auto"/>
        </w:rPr>
      </w:pPr>
      <w:r>
        <w:rPr>
          <w:rFonts w:ascii="Times New Roman" w:cs="Times New Roman" w:eastAsia="Times New Roman" w:hAnsi="Times New Roman"/>
          <w:sz w:val="18"/>
          <w:szCs w:val="18"/>
          <w:color w:val="auto"/>
        </w:rPr>
        <w:t>Set forth on Schedule A annexed hereto (“Schedule A”) is the name and present principal occupation or employment, principal business address and citizenship of the executive officers and directors of Apeiron. To the best of the Reporting Persons’ knowledge, except as otherwise set forth herein, none of the persons listed on Schedule A beneficially owns any securities of the Issuer or is a party to any contract, agreement or understanding required to be disclosed herein.</w:t>
      </w:r>
    </w:p>
    <w:p>
      <w:pPr>
        <w:spacing w:after="0" w:line="180" w:lineRule="exact"/>
        <w:rPr>
          <w:sz w:val="20"/>
          <w:szCs w:val="20"/>
          <w:color w:val="auto"/>
        </w:rPr>
      </w:pPr>
    </w:p>
    <w:p>
      <w:pPr>
        <w:jc w:val="both"/>
        <w:ind w:firstLine="1304"/>
        <w:spacing w:after="0" w:line="266" w:lineRule="auto"/>
        <w:tabs>
          <w:tab w:leader="none" w:pos="1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address of each of Presight Co-Invest and Presight Co-Invest Management is 340 South Lemon Avenue #3391, Walnut, California 91789. The principal business address of Apeiron and Mr. Angermayer is Beatrice, at 66 &amp; 67 Amery Street, SLM1707, Sliema, Malta.</w:t>
      </w:r>
    </w:p>
    <w:p>
      <w:pPr>
        <w:spacing w:after="0" w:line="175"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of Presight Co-Invest is investing in securities. The principal business of Presight Co-Invest Management, which is a wholly owned subsidiary of Apeiron, is serving as the general partner of Presight Co-Invest. The principal business of Apeiron is serving as an asset manager and as the family office of Mr. Angermayer. Mr. Angermayer’s principal occupation is serving as an entrepreneur and private investor.</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8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Reporting Person, nor any person listed on Schedule A, has, during the last five years, been convicted in a criminal proceeding (excluding traffic violations or similar misdemeanors).</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CUSIP No. 81728A108</w:t>
      </w:r>
    </w:p>
    <w:p>
      <w:pPr>
        <w:spacing w:after="0" w:line="333" w:lineRule="exact"/>
        <w:rPr>
          <w:sz w:val="20"/>
          <w:szCs w:val="20"/>
          <w:color w:val="auto"/>
        </w:rPr>
      </w:pPr>
    </w:p>
    <w:p>
      <w:pPr>
        <w:jc w:val="both"/>
        <w:ind w:firstLine="1304"/>
        <w:spacing w:after="0" w:line="266" w:lineRule="auto"/>
        <w:tabs>
          <w:tab w:leader="none" w:pos="188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Reporting Person, nor any person listed on Schedule A, has, during the last five years, been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75" w:lineRule="exact"/>
        <w:rPr>
          <w:rFonts w:ascii="Times New Roman" w:cs="Times New Roman" w:eastAsia="Times New Roman" w:hAnsi="Times New Roman"/>
          <w:sz w:val="18"/>
          <w:szCs w:val="18"/>
          <w:color w:val="auto"/>
        </w:rPr>
      </w:pPr>
    </w:p>
    <w:p>
      <w:pPr>
        <w:jc w:val="both"/>
        <w:ind w:right="20" w:firstLine="1295"/>
        <w:spacing w:after="0" w:line="266"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Presight Co-Invest and Presight Co-Invest Management are organized under the laws of the State of Delaware. Apeiron is organized under the laws of Malta. Mr. Angermayer is a citizen of the Federal Republic of Germany. The citizenship of the persons listed on Schedule A is set forth therein.</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8"/>
          <w:szCs w:val="18"/>
          <w:u w:val="single" w:color="auto"/>
          <w:color w:val="auto"/>
        </w:rPr>
        <w:t>Source and Amount of Funds or Other Consideration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 Shares purchased by Presight Co-Invest were purchased with working capital (which may, at any given time, include margin loans made by brokerage firms in the ordinary course of business) prior to the Issuer’s initial public offering (the “IPO”) and in connection with the Issuer’s IPO. The aggregate purchase price for the 955,738 Shares reported directly beneficially owned herein by Presight Co-Invest was approximately $3,767,980, excluding brokerage commissions.</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 Shares purchased by Apeiron were purchased with working capital (which may, at any given time, include margin loans made by brokerage firms in the ordinary course of business) prior to the Issuer’s IPO in connection with the Issuer’s IPO and in open market purchases. The aggregate purchase price for the 2,483,723 Shares reported directly beneficially owned herein by Apeiron was the sum of approximately $27,399,147 and €3,412,533, excluding brokerage commissions.</w:t>
      </w:r>
    </w:p>
    <w:p>
      <w:pPr>
        <w:spacing w:after="0" w:line="18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8"/>
          <w:szCs w:val="18"/>
          <w:u w:val="single" w:color="auto"/>
          <w:color w:val="auto"/>
        </w:rPr>
        <w:t>Purpose of Transaction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Reporting Persons are long term investors in the biotech sector and initially purchased the Shares based on the Reporting Persons’ belief that the Shares, when purchased, represented an attractive opportunity. The Shares of the Issuer currently trade at a discount to its cash/liquidation value.</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The Reporting Persons have converted to a Schedule 13D as the Reporting Persons intend to engage in discussions with the Board of Directors (the “Board”) and management of the Issuer regarding a variety of matters relating to the Issuer including, among other things, the Issuer's business, operations, expenses, direction and opportunities to enhance value for all shareholders. The Reporting Persons may also engage in discussion with other shareholders, industry analysts, existing or potential strategic partners or competitors and other third parties regarding the foregoing. At the present time no Reporting Person has any present plan or proposal which would relate to or result in any of the matters set forth in subparagraphs (a) - (j) of Item 4 of Schedule 13D except as set forth herein or such as would occur upon or in connection with completion of, or following, any of the actions discussed herein.</w:t>
      </w:r>
    </w:p>
    <w:p>
      <w:pPr>
        <w:spacing w:after="0" w:line="18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The Reporting Persons intend to review their investment in the Issuer on a continuing basis. Depending on various factors, including, without limitation, the outcome of any discussions referenced above, the Issuer's financial position, results and strategic direction, actions taken by the Issuer's management and the Board, price levels of the Shares, other investment opportunities available to the Reporting Persons, conditions in the securities market and general economic and industry conditions, the Reporting Persons may in the future take such actions with respect to their investment in the Issuer as they deem appropriate, including, without limitation, exchanging information with the Issuer, including pursuant to appropriate confidentiality or similar agreements, acquiring additional Shares and/or other equity, debt, notes, instruments or other securities of the Issuer or derivatives related thereto (collectively, the "Securities") or disposing of some or all of the Securities beneficially owned by them, in public market or privately negotiated transactions, entering into financial instruments or other agreements that increase or decrease the Reporting Persons’ economic exposure with respect to their investment in the Issuer and/or otherwise changing their intention with respect to any and all matters referred to in Item 4 of Schedule 13D.</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CUSIP No. 81728A108</w:t>
      </w:r>
    </w:p>
    <w:p>
      <w:pPr>
        <w:spacing w:after="0" w:line="33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7"/>
          <w:szCs w:val="17"/>
          <w:u w:val="single" w:color="auto"/>
          <w:color w:val="auto"/>
        </w:rPr>
        <w:t>Interest in Securities of the Issuer</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aggregate percentage of Shares reported owned by each person named herein is based upon 30,628,813 Shares outstanding, as of May 6, 2022, which is the total number of Shares outstanding as reported in the Issuer’s Quarterly Report on Form 10-Q, filed with the Securities and Exchange Commission on May 10, 2022.</w:t>
      </w:r>
    </w:p>
    <w:p>
      <w:pPr>
        <w:spacing w:after="0" w:line="176"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Presight Co-Invest</w:t>
      </w:r>
    </w:p>
    <w:p>
      <w:pPr>
        <w:spacing w:after="0" w:line="225" w:lineRule="exact"/>
        <w:rPr>
          <w:rFonts w:ascii="Times New Roman" w:cs="Times New Roman" w:eastAsia="Times New Roman" w:hAnsi="Times New Roman"/>
          <w:sz w:val="18"/>
          <w:szCs w:val="18"/>
          <w:color w:val="auto"/>
        </w:rPr>
      </w:pPr>
    </w:p>
    <w:p>
      <w:pPr>
        <w:ind w:left="1300" w:right="2120" w:hanging="644"/>
        <w:spacing w:after="0" w:line="500" w:lineRule="auto"/>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close of business on July 19, 2022, Presight Co-Invest beneficially owned directly 955,738 Shares. Percentage: Approximately 3.1%</w:t>
      </w:r>
    </w:p>
    <w:p>
      <w:pPr>
        <w:spacing w:after="0" w:line="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Sole power to vote or direct vote: 0</w:t>
      </w:r>
    </w:p>
    <w:p>
      <w:pPr>
        <w:spacing w:after="0" w:line="27"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vote: 955,738</w:t>
      </w:r>
    </w:p>
    <w:p>
      <w:pPr>
        <w:spacing w:after="0" w:line="9"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 0</w:t>
      </w:r>
    </w:p>
    <w:p>
      <w:pPr>
        <w:spacing w:after="0" w:line="9"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955,738</w:t>
      </w:r>
    </w:p>
    <w:p>
      <w:pPr>
        <w:spacing w:after="0" w:line="20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Presight Co-Invest has not entered into any transaction in the Shares during the past sixty days.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Presight Co-Invest Management</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general partner of Presight Co-Invest, Presight Co-Invest Management may be deemed to beneficially own the 955,738 Shares beneficially owned directly by Presight Co-Invest.</w:t>
      </w:r>
    </w:p>
    <w:p>
      <w:pPr>
        <w:spacing w:after="0" w:line="16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Approximately 3.1%</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Sole power to vote or direct vote: 0</w:t>
      </w:r>
    </w:p>
    <w:p>
      <w:pPr>
        <w:spacing w:after="0" w:line="27"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vote: 955,738</w:t>
      </w:r>
    </w:p>
    <w:p>
      <w:pPr>
        <w:spacing w:after="0" w:line="9"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 0</w:t>
      </w:r>
    </w:p>
    <w:p>
      <w:pPr>
        <w:spacing w:after="0" w:line="9"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955,738</w:t>
      </w:r>
    </w:p>
    <w:p>
      <w:pPr>
        <w:spacing w:after="0" w:line="20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Presight Co-Invest Management has not entered into any transaction in the Shares during the past sixty days.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Apeiron</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close of business on July 19, 2022, Apeiron beneficially owned directly 2,483,723 Shares. In addition, as the parent company of Presight Co-Invest Management, Apeiron may be deemed to beneficially own the 955,738 Shares beneficially owned directly by Presight Co-Invest.</w:t>
      </w:r>
    </w:p>
    <w:p>
      <w:pPr>
        <w:spacing w:after="0" w:line="17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Approximately 11.2%</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CUSIP No. 81728A108</w:t>
      </w:r>
    </w:p>
    <w:p>
      <w:pPr>
        <w:spacing w:after="0" w:line="333" w:lineRule="exact"/>
        <w:rPr>
          <w:sz w:val="20"/>
          <w:szCs w:val="20"/>
          <w:color w:val="auto"/>
        </w:rPr>
      </w:pPr>
    </w:p>
    <w:p>
      <w:pPr>
        <w:ind w:left="1300" w:hanging="644"/>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Sole power to vote or direct vote: 0</w:t>
      </w:r>
    </w:p>
    <w:p>
      <w:pPr>
        <w:spacing w:after="0" w:line="27"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vote: 3,439,461</w:t>
      </w:r>
    </w:p>
    <w:p>
      <w:pPr>
        <w:spacing w:after="0" w:line="9"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 0</w:t>
      </w:r>
    </w:p>
    <w:p>
      <w:pPr>
        <w:spacing w:after="0" w:line="9"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3,439,461</w:t>
      </w:r>
    </w:p>
    <w:p>
      <w:pPr>
        <w:spacing w:after="0" w:line="20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Apeiron has not entered into any transaction in the Shares during the past sixty days.</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7"/>
          <w:szCs w:val="17"/>
          <w:color w:val="auto"/>
        </w:rPr>
        <w:t>Mr. Angermayer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majority shareholder of Apeiron, Mr. Angermayer may be deemed to beneficially own the 2,453,723 Shares beneficially owned directly by Apeiron and the 955,738 Shares beneficially owned directly by Presight Co-Invest.</w:t>
      </w:r>
    </w:p>
    <w:p>
      <w:pPr>
        <w:spacing w:after="0" w:line="16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Approximately 11.2%</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Sole power to vote or direct vote: 0</w:t>
      </w:r>
    </w:p>
    <w:p>
      <w:pPr>
        <w:spacing w:after="0" w:line="27"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vote: 3,439,461</w:t>
      </w:r>
    </w:p>
    <w:p>
      <w:pPr>
        <w:spacing w:after="0" w:line="9"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 0</w:t>
      </w:r>
    </w:p>
    <w:p>
      <w:pPr>
        <w:spacing w:after="0" w:line="9"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3,439,461</w:t>
      </w:r>
    </w:p>
    <w:p>
      <w:pPr>
        <w:spacing w:after="0" w:line="20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Angermayer has not entered into any transactions in the Shares during the past sixty days.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filing of this Schedule 13D shall not be deemed an admission that the Reporting Persons are, for purposes of Section 13(d) of the Securities Exchange Act of 1934, as amended, the beneficial owners of any securities of the Issuer that he or it does not directly own. Each of the Reporting Persons specifically disclaims beneficial ownership of the securities reported herein that he or it does not directly own.</w:t>
      </w:r>
    </w:p>
    <w:p>
      <w:pPr>
        <w:spacing w:after="0" w:line="176" w:lineRule="exact"/>
        <w:rPr>
          <w:sz w:val="20"/>
          <w:szCs w:val="20"/>
          <w:color w:val="auto"/>
        </w:rPr>
      </w:pPr>
    </w:p>
    <w:p>
      <w:pPr>
        <w:ind w:left="1300" w:right="20" w:hanging="644"/>
        <w:spacing w:after="0" w:line="282"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other than the Reporting Persons is known to have the right to receive, or the power to direct the receipt of dividends from, or proceeds from the sale of, the Shares.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8"/>
          <w:szCs w:val="18"/>
          <w:u w:val="single" w:color="auto"/>
          <w:color w:val="auto"/>
        </w:rPr>
        <w:t>Contracts, Arrangements, Understandings or Relationships With Respect to Securities of the Issuer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On December 29, 2020, the Reporting Persons entered into the Amended and Restated Investors’ Rights Agreement with the Issuer (the “Investors’ Rights Agreement”). Among other things, the Investors’ Rights Agreement provides the Reporting Persons with certain registration rights and also contains customary cross-indemnification provisions in connection with such registration rights. The above description of the Investors’ Rights Agreement does not purport to be complete and is qualified in its entirety by reference to the full text of the Investors’ Rights Agreement, which is attached hereto as Exhibit 99.1 and is incorporated herein by reference.</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On July 19, 2022, the Reporting Persons entered into a Joint Filing Agreement in which the Reporting Persons agreed to the joint filing on behalf of each of them of statements on Schedule 13D with respect to the securities of the Issuer to the extent required by applicable law. The Joint Filing Agreement is attached hereto as Exhibit 99.2 and is incorporated herein by reference.</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Other than as described herein, there are no contracts, arrangements, understandings or relationships among the Reporting Persons, or between the Reporting Persons and any other person, with respect to the securities of the Issuer.</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CUSIP No. 81728A108</w:t>
      </w:r>
    </w:p>
    <w:p>
      <w:pPr>
        <w:spacing w:after="0" w:line="33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8"/>
          <w:szCs w:val="18"/>
          <w:u w:val="single" w:color="auto"/>
          <w:color w:val="auto"/>
        </w:rPr>
        <w:t>Material to be Filed as Exhibits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960" w:hanging="647"/>
        <w:spacing w:after="0" w:line="266" w:lineRule="auto"/>
        <w:tabs>
          <w:tab w:leader="none" w:pos="1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r:id="rId13">
        <w:r>
          <w:rPr>
            <w:rFonts w:ascii="Times New Roman" w:cs="Times New Roman" w:eastAsia="Times New Roman" w:hAnsi="Times New Roman"/>
            <w:sz w:val="18"/>
            <w:szCs w:val="18"/>
            <w:u w:val="single" w:color="auto"/>
            <w:color w:val="0000EE"/>
          </w:rPr>
          <w:t>Amended and Restated Investors’ Rights Agreement, by and among the Issuer and the stockholders party thereto, dated</w:t>
        </w:r>
      </w:hyperlink>
      <w:r>
        <w:rPr>
          <w:rFonts w:ascii="Times New Roman" w:cs="Times New Roman" w:eastAsia="Times New Roman" w:hAnsi="Times New Roman"/>
          <w:sz w:val="18"/>
          <w:szCs w:val="18"/>
          <w:u w:val="single" w:color="auto"/>
          <w:color w:val="0000EE"/>
        </w:rPr>
        <w:t xml:space="preserve"> </w:t>
      </w:r>
      <w:hyperlink r:id="rId13">
        <w:r>
          <w:rPr>
            <w:rFonts w:ascii="Times New Roman" w:cs="Times New Roman" w:eastAsia="Times New Roman" w:hAnsi="Times New Roman"/>
            <w:sz w:val="18"/>
            <w:szCs w:val="18"/>
            <w:u w:val="single" w:color="auto"/>
            <w:color w:val="0000EE"/>
          </w:rPr>
          <w:t>December 29, 2020 (incorporated by reference to Exhibit 4.1 of the Issuer’s Registration Statement on Form S-1/A filed with the</w:t>
        </w:r>
      </w:hyperlink>
      <w:r>
        <w:rPr>
          <w:rFonts w:ascii="Times New Roman" w:cs="Times New Roman" w:eastAsia="Times New Roman" w:hAnsi="Times New Roman"/>
          <w:sz w:val="18"/>
          <w:szCs w:val="18"/>
          <w:u w:val="single" w:color="auto"/>
          <w:color w:val="0000EE"/>
        </w:rPr>
        <w:t xml:space="preserve"> </w:t>
      </w:r>
      <w:hyperlink r:id="rId13">
        <w:r>
          <w:rPr>
            <w:rFonts w:ascii="Times New Roman" w:cs="Times New Roman" w:eastAsia="Times New Roman" w:hAnsi="Times New Roman"/>
            <w:sz w:val="18"/>
            <w:szCs w:val="18"/>
            <w:u w:val="single" w:color="auto"/>
            <w:color w:val="0000EE"/>
          </w:rPr>
          <w:t>SEC on February 1, 2021).</w:t>
        </w:r>
      </w:hyperlink>
    </w:p>
    <w:p>
      <w:pPr>
        <w:spacing w:after="0" w:line="176" w:lineRule="exact"/>
        <w:rPr>
          <w:rFonts w:ascii="Times New Roman" w:cs="Times New Roman" w:eastAsia="Times New Roman" w:hAnsi="Times New Roman"/>
          <w:sz w:val="18"/>
          <w:szCs w:val="18"/>
          <w:u w:val="single" w:color="auto"/>
          <w:color w:val="0000EE"/>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u w:val="single" w:color="auto"/>
          <w:color w:val="0000EE"/>
        </w:rPr>
        <w:t>Joint Filing Agreement, by and among the Reporting Persons, dated July 19, 2022.</w:t>
      </w:r>
    </w:p>
    <w:p>
      <w:pPr>
        <w:spacing w:after="0" w:line="360" w:lineRule="exact"/>
        <w:rPr>
          <w:rFonts w:ascii="Times New Roman" w:cs="Times New Roman" w:eastAsia="Times New Roman" w:hAnsi="Times New Roman"/>
          <w:sz w:val="18"/>
          <w:szCs w:val="18"/>
          <w:u w:val="single" w:color="auto"/>
          <w:color w:val="0000EE"/>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CUSIP No. 81728A108</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his knowledge and belief,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19, 2022</w:t>
      </w:r>
    </w:p>
    <w:p>
      <w:pPr>
        <w:spacing w:after="0" w:line="22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Presight Sensei Co-Invest Fund, L.P.</w:t>
      </w:r>
    </w:p>
    <w:p>
      <w:pPr>
        <w:spacing w:after="0" w:line="229" w:lineRule="exact"/>
        <w:rPr>
          <w:sz w:val="20"/>
          <w:szCs w:val="20"/>
          <w:color w:val="auto"/>
        </w:rPr>
      </w:pPr>
    </w:p>
    <w:tbl>
      <w:tblPr>
        <w:tblLayout w:type="fixed"/>
        <w:tblInd w:w="57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Presight Sensei Co-Invest Management, L.L.C., its general partner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Fabian Leonardo Hansen</w:t>
            </w:r>
          </w:p>
        </w:tc>
      </w:tr>
      <w:tr>
        <w:trPr>
          <w:trHeight w:val="191"/>
        </w:trPr>
        <w:tc>
          <w:tcPr>
            <w:tcW w:w="580" w:type="dxa"/>
            <w:vAlign w:val="bottom"/>
          </w:tcPr>
          <w:p>
            <w:pPr>
              <w:spacing w:after="0"/>
              <w:rPr>
                <w:sz w:val="16"/>
                <w:szCs w:val="16"/>
                <w:color w:val="auto"/>
              </w:rPr>
            </w:pPr>
          </w:p>
        </w:tc>
        <w:tc>
          <w:tcPr>
            <w:tcW w:w="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18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Fabian Leonardo Hansen</w:t>
            </w:r>
          </w:p>
        </w:tc>
      </w:tr>
      <w:tr>
        <w:trPr>
          <w:trHeight w:val="234"/>
        </w:trPr>
        <w:tc>
          <w:tcPr>
            <w:tcW w:w="58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59"/>
        </w:trPr>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Presight Sensei Co-Invest Management, L.L.C.</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Fabian Leonardo Hansen</w:t>
            </w:r>
          </w:p>
        </w:tc>
      </w:tr>
      <w:tr>
        <w:trPr>
          <w:trHeight w:val="191"/>
        </w:trPr>
        <w:tc>
          <w:tcPr>
            <w:tcW w:w="580" w:type="dxa"/>
            <w:vAlign w:val="bottom"/>
          </w:tcPr>
          <w:p>
            <w:pPr>
              <w:spacing w:after="0"/>
              <w:rPr>
                <w:sz w:val="16"/>
                <w:szCs w:val="16"/>
                <w:color w:val="auto"/>
              </w:rPr>
            </w:pPr>
          </w:p>
        </w:tc>
        <w:tc>
          <w:tcPr>
            <w:tcW w:w="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18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Fabian Leonardo Hansen</w:t>
            </w:r>
          </w:p>
        </w:tc>
      </w:tr>
      <w:tr>
        <w:trPr>
          <w:trHeight w:val="234"/>
        </w:trPr>
        <w:tc>
          <w:tcPr>
            <w:tcW w:w="58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59"/>
        </w:trPr>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Apeiron Investment Group, Ltd.</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Julien Hoefer</w:t>
            </w:r>
          </w:p>
        </w:tc>
      </w:tr>
      <w:tr>
        <w:trPr>
          <w:trHeight w:val="191"/>
        </w:trPr>
        <w:tc>
          <w:tcPr>
            <w:tcW w:w="580" w:type="dxa"/>
            <w:vAlign w:val="bottom"/>
          </w:tcPr>
          <w:p>
            <w:pPr>
              <w:spacing w:after="0"/>
              <w:rPr>
                <w:sz w:val="16"/>
                <w:szCs w:val="16"/>
                <w:color w:val="auto"/>
              </w:rPr>
            </w:pPr>
          </w:p>
        </w:tc>
        <w:tc>
          <w:tcPr>
            <w:tcW w:w="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18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Julien Hoefer</w:t>
            </w:r>
          </w:p>
        </w:tc>
      </w:tr>
      <w:tr>
        <w:trPr>
          <w:trHeight w:val="234"/>
        </w:trPr>
        <w:tc>
          <w:tcPr>
            <w:tcW w:w="58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Christian Angermayer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Christian Angermayer</w:t>
      </w:r>
    </w:p>
    <w:p>
      <w:pPr>
        <w:spacing w:after="0" w:line="3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CUSIP No. 81728A108</w:t>
      </w:r>
    </w:p>
    <w:p>
      <w:pPr>
        <w:spacing w:after="0" w:line="35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u w:val="single" w:color="auto"/>
          <w:color w:val="auto"/>
        </w:rPr>
        <w:t>Directors and Officers of Apeiron Investment Group, Ltd.</w:t>
      </w:r>
    </w:p>
    <w:p>
      <w:pPr>
        <w:sectPr>
          <w:pgSz w:w="11900" w:h="16838" w:orient="portrait"/>
          <w:cols w:equalWidth="0" w:num="1">
            <w:col w:w="10920"/>
          </w:cols>
          <w:pgMar w:left="320" w:top="229" w:right="659" w:bottom="1440" w:gutter="0" w:footer="0" w:header="0"/>
        </w:sect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Name and Position</w:t>
      </w:r>
    </w:p>
    <w:p>
      <w:pPr>
        <w:spacing w:after="0" w:line="229" w:lineRule="exact"/>
        <w:rPr>
          <w:sz w:val="20"/>
          <w:szCs w:val="20"/>
          <w:color w:val="auto"/>
        </w:rPr>
      </w:pPr>
    </w:p>
    <w:p>
      <w:pPr>
        <w:ind w:right="80"/>
        <w:spacing w:after="0" w:line="225" w:lineRule="auto"/>
        <w:rPr>
          <w:sz w:val="20"/>
          <w:szCs w:val="20"/>
          <w:color w:val="auto"/>
        </w:rPr>
      </w:pPr>
      <w:r>
        <w:rPr>
          <w:rFonts w:ascii="Times New Roman" w:cs="Times New Roman" w:eastAsia="Times New Roman" w:hAnsi="Times New Roman"/>
          <w:sz w:val="18"/>
          <w:szCs w:val="18"/>
          <w:color w:val="auto"/>
        </w:rPr>
        <w:t>Julien Hoefer</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 Director, Legal Representative, Judicial Representative</w:t>
      </w:r>
    </w:p>
    <w:p>
      <w:pPr>
        <w:spacing w:after="0" w:line="20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Jefim Gewiet – Director, Legal Representative, Judicial Representative</w:t>
      </w:r>
    </w:p>
    <w:p>
      <w:pPr>
        <w:spacing w:after="0" w:line="3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Occupation</w:t>
            </w:r>
          </w:p>
        </w:tc>
        <w:tc>
          <w:tcPr>
            <w:tcW w:w="29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Principal Business Address</w:t>
            </w:r>
          </w:p>
        </w:tc>
        <w:tc>
          <w:tcPr>
            <w:tcW w:w="24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Citizenship</w:t>
            </w:r>
          </w:p>
        </w:tc>
      </w:tr>
      <w:tr>
        <w:trPr>
          <w:trHeight w:val="20"/>
        </w:trPr>
        <w:tc>
          <w:tcPr>
            <w:tcW w:w="152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434"/>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Managing director of Apeiron</w:t>
            </w:r>
          </w:p>
        </w:tc>
        <w:tc>
          <w:tcPr>
            <w:tcW w:w="29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66 &amp; 67, Beatrice, Amery Street,</w:t>
            </w:r>
          </w:p>
        </w:tc>
        <w:tc>
          <w:tcPr>
            <w:tcW w:w="24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99"/>
              </w:rPr>
              <w:t>Federal Republic of Germany</w:t>
            </w:r>
          </w:p>
        </w:tc>
      </w:tr>
      <w:tr>
        <w:trPr>
          <w:trHeight w:val="234"/>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Group Ltd and Lawyer</w:t>
            </w:r>
          </w:p>
        </w:tc>
        <w:tc>
          <w:tcPr>
            <w:tcW w:w="29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Sliema, SLM 1707, Malta</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670"/>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Managing director of Apeiron</w:t>
            </w:r>
          </w:p>
        </w:tc>
        <w:tc>
          <w:tcPr>
            <w:tcW w:w="29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66 &amp; 67, Beatrice, Amery Street,</w:t>
            </w:r>
          </w:p>
        </w:tc>
        <w:tc>
          <w:tcPr>
            <w:tcW w:w="24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99"/>
              </w:rPr>
              <w:t>Federal Republic of Germany</w:t>
            </w:r>
          </w:p>
        </w:tc>
      </w:tr>
      <w:tr>
        <w:trPr>
          <w:trHeight w:val="216"/>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Group Ltd and Financial</w:t>
            </w:r>
          </w:p>
        </w:tc>
        <w:tc>
          <w:tcPr>
            <w:tcW w:w="29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Sliema, SLM 1707, Malta</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Advisor</w:t>
            </w:r>
          </w:p>
        </w:tc>
        <w:tc>
          <w:tcPr>
            <w:tcW w:w="2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621" w:lineRule="exact"/>
        <w:rPr>
          <w:sz w:val="20"/>
          <w:szCs w:val="20"/>
          <w:color w:val="auto"/>
        </w:rPr>
      </w:pPr>
    </w:p>
    <w:p>
      <w:pPr>
        <w:sectPr>
          <w:pgSz w:w="11900" w:h="16838" w:orient="portrait"/>
          <w:cols w:equalWidth="0" w:num="2">
            <w:col w:w="2400" w:space="320"/>
            <w:col w:w="8200"/>
          </w:cols>
          <w:pgMar w:left="320" w:top="229" w:right="659" w:bottom="1440" w:gutter="0" w:footer="0" w:header="0"/>
          <w:type w:val="continuous"/>
        </w:sectPr>
      </w:pPr>
    </w:p>
    <w:p>
      <w:pPr>
        <w:ind w:left="120" w:hanging="112"/>
        <w:spacing w:after="0" w:line="235" w:lineRule="auto"/>
        <w:tabs>
          <w:tab w:leader="none" w:pos="12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Mr. Hoefer owns 10,000 Shares through a wholly-owned entity.</w:t>
      </w:r>
    </w:p>
    <w:p>
      <w:pPr>
        <w:spacing w:after="0" w:line="200" w:lineRule="exact"/>
        <w:rPr>
          <w:sz w:val="20"/>
          <w:szCs w:val="20"/>
          <w:color w:val="auto"/>
        </w:rPr>
      </w:pPr>
    </w:p>
    <w:p>
      <w:pPr>
        <w:spacing w:after="0" w:line="21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229" w:right="659" w:bottom="1440" w:gutter="0" w:footer="0" w:header="0"/>
          <w:type w:val="continuous"/>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color w:val="auto"/>
        </w:rPr>
        <w:t>Exhibit 99.2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JOINT FILING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Rule 13d-1(k)(1)(iii) under the Securities Exchange Act of 1934, as amended, the persons named below agree to the joint filing on behalf of each of them of a Statement on Schedule 13D (including additional amendments thereto) with respect to the Common Stock, $0.0001 par value per share, of Sensei Biotherapeutics, Inc., a Delaware corporation. This Joint Filing Agreement shall be filed as an Exhibit to such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19, 2022</w:t>
      </w:r>
    </w:p>
    <w:p>
      <w:pPr>
        <w:spacing w:after="0" w:line="22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Presight Sensei Co-Invest Fund, L.P.</w:t>
      </w:r>
    </w:p>
    <w:p>
      <w:pPr>
        <w:spacing w:after="0" w:line="229" w:lineRule="exact"/>
        <w:rPr>
          <w:sz w:val="20"/>
          <w:szCs w:val="20"/>
          <w:color w:val="auto"/>
        </w:rPr>
      </w:pPr>
    </w:p>
    <w:tbl>
      <w:tblPr>
        <w:tblLayout w:type="fixed"/>
        <w:tblInd w:w="57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Presight Sensei Co-Invest Management, L.L.C., its general partner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Fabian Leonardo Hansen</w:t>
            </w:r>
          </w:p>
        </w:tc>
      </w:tr>
      <w:tr>
        <w:trPr>
          <w:trHeight w:val="191"/>
        </w:trPr>
        <w:tc>
          <w:tcPr>
            <w:tcW w:w="580" w:type="dxa"/>
            <w:vAlign w:val="bottom"/>
          </w:tcPr>
          <w:p>
            <w:pPr>
              <w:spacing w:after="0"/>
              <w:rPr>
                <w:sz w:val="16"/>
                <w:szCs w:val="16"/>
                <w:color w:val="auto"/>
              </w:rPr>
            </w:pPr>
          </w:p>
        </w:tc>
        <w:tc>
          <w:tcPr>
            <w:tcW w:w="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18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Fabian Leonardo Hansen</w:t>
            </w:r>
          </w:p>
        </w:tc>
      </w:tr>
      <w:tr>
        <w:trPr>
          <w:trHeight w:val="234"/>
        </w:trPr>
        <w:tc>
          <w:tcPr>
            <w:tcW w:w="58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59"/>
        </w:trPr>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Presight Sensei Co-Invest Management, L.L.C.</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Fabian Leonardo Hansen</w:t>
            </w:r>
          </w:p>
        </w:tc>
      </w:tr>
      <w:tr>
        <w:trPr>
          <w:trHeight w:val="191"/>
        </w:trPr>
        <w:tc>
          <w:tcPr>
            <w:tcW w:w="580" w:type="dxa"/>
            <w:vAlign w:val="bottom"/>
          </w:tcPr>
          <w:p>
            <w:pPr>
              <w:spacing w:after="0"/>
              <w:rPr>
                <w:sz w:val="16"/>
                <w:szCs w:val="16"/>
                <w:color w:val="auto"/>
              </w:rPr>
            </w:pPr>
          </w:p>
        </w:tc>
        <w:tc>
          <w:tcPr>
            <w:tcW w:w="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18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Fabian Leonardo Hansen</w:t>
            </w:r>
          </w:p>
        </w:tc>
      </w:tr>
      <w:tr>
        <w:trPr>
          <w:trHeight w:val="234"/>
        </w:trPr>
        <w:tc>
          <w:tcPr>
            <w:tcW w:w="58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59"/>
        </w:trPr>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Apeiron Investment Group, Ltd.</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Julien Hoefer</w:t>
            </w:r>
          </w:p>
        </w:tc>
      </w:tr>
      <w:tr>
        <w:trPr>
          <w:trHeight w:val="191"/>
        </w:trPr>
        <w:tc>
          <w:tcPr>
            <w:tcW w:w="580" w:type="dxa"/>
            <w:vAlign w:val="bottom"/>
          </w:tcPr>
          <w:p>
            <w:pPr>
              <w:spacing w:after="0"/>
              <w:rPr>
                <w:sz w:val="16"/>
                <w:szCs w:val="16"/>
                <w:color w:val="auto"/>
              </w:rPr>
            </w:pPr>
          </w:p>
        </w:tc>
        <w:tc>
          <w:tcPr>
            <w:tcW w:w="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18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Julien Hoefer</w:t>
            </w:r>
          </w:p>
        </w:tc>
      </w:tr>
      <w:tr>
        <w:trPr>
          <w:trHeight w:val="234"/>
        </w:trPr>
        <w:tc>
          <w:tcPr>
            <w:tcW w:w="58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Christian Angermayer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Christian Angermayer</w:t>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bullet"/>
      <w:start w:val="1"/>
    </w:lvl>
  </w:abstractNum>
  <w:abstractNum w:abstractNumId="1">
    <w:nsid w:val="3D1B58BA"/>
    <w:multiLevelType w:val="hybridMultilevel"/>
    <w:lvl w:ilvl="0">
      <w:lvlJc w:val="left"/>
      <w:lvlText w:val="(%1)"/>
      <w:numFmt w:val="lowerLetter"/>
      <w:start w:val="1"/>
    </w:lvl>
    <w:lvl w:ilvl="1">
      <w:lvlJc w:val="left"/>
      <w:lvlText w:val="(%2)"/>
      <w:numFmt w:val="lowerRoman"/>
      <w:start w:val="1"/>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2"/>
    </w:lvl>
  </w:abstractNum>
  <w:abstractNum w:abstractNumId="5">
    <w:nsid w:val="79E2A9E3"/>
    <w:multiLevelType w:val="hybridMultilevel"/>
    <w:lvl w:ilvl="0">
      <w:lvlJc w:val="left"/>
      <w:lvlText w:val="%1"/>
      <w:numFmt w:val="upperLetter"/>
      <w:start w:val="1"/>
    </w:lvl>
    <w:lvl w:ilvl="1">
      <w:lvlJc w:val="left"/>
      <w:lvlText w:val="(%2)"/>
      <w:numFmt w:val="lowerLetter"/>
      <w:start w:val="2"/>
    </w:lvl>
    <w:lvl w:ilvl="2">
      <w:lvlJc w:val="left"/>
      <w:lvlText w:val="%3."/>
      <w:numFmt w:val="decimal"/>
      <w:start w:val="2"/>
    </w:lvl>
  </w:abstractNum>
  <w:abstractNum w:abstractNumId="6">
    <w:nsid w:val="7545E146"/>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2"/>
    </w:lvl>
  </w:abstractNum>
  <w:abstractNum w:abstractNumId="7">
    <w:nsid w:val="515F007C"/>
    <w:multiLevelType w:val="hybridMultilevel"/>
    <w:lvl w:ilvl="0">
      <w:lvlJc w:val="left"/>
      <w:lvlText w:val="(%1)"/>
      <w:numFmt w:val="lowerLetter"/>
      <w:start w:val="4"/>
    </w:lvl>
  </w:abstractNum>
  <w:abstractNum w:abstractNumId="8">
    <w:nsid w:val="5BD062C2"/>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3" Type="http://schemas.openxmlformats.org/officeDocument/2006/relationships/hyperlink" Target="http://www.sec.gov/Archives/edgar/data/1829802/000119312521023615/d43789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2022-07-19T16:32:14Z</dcterms:created>
  <dcterms:modified xsi:type="dcterms:W3CDTF">2022-07-19T16:32:14Z</dcterms:modified>
</cp:coreProperties>
</file>