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-610870</wp:posOffset>
            </wp:positionV>
            <wp:extent cx="8255" cy="611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4009390</wp:posOffset>
            </wp:positionH>
            <wp:positionV relativeFrom="paragraph">
              <wp:posOffset>-619125</wp:posOffset>
            </wp:positionV>
            <wp:extent cx="8255" cy="6197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4034155</wp:posOffset>
            </wp:positionH>
            <wp:positionV relativeFrom="paragraph">
              <wp:posOffset>-594360</wp:posOffset>
            </wp:positionV>
            <wp:extent cx="1264285" cy="570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570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60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0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Pierce Robert Hamilton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SENSEI BIOTHERAPEUTICS, INC.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1405 RESEARCH BLVD, SUITE 125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Sensei Biotherapeutics,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SNSE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" w:right="600" w:hanging="5"/>
        <w:spacing w:after="0" w:line="239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ind w:righ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122.88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01/21/2029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-2942590</wp:posOffset>
            </wp:positionV>
            <wp:extent cx="7033260" cy="30829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08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jc w:val="both"/>
        <w:ind w:left="40" w:right="260" w:firstLine="3"/>
        <w:spacing w:after="0" w:line="271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One-fourth (1/4th) of the options granted hereby shall vest and become exercisable on the first anniversary of the Vesting Commencement Date, February 3, 2021, thereafter one forty-eighth (1/48th) of the options granted shall vest and become exercisable each month following the Vesting Commencement Date, over four years such that the options shall be 100% vested on the fourth anniversary of the Vesting Commencement Date, subject to the grantee's Continuous Service (as defined in the 2021 Equity Incentive Plan) through each such vesting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Ballantyne (Attorney-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3335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-19685</wp:posOffset>
            </wp:positionV>
            <wp:extent cx="339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1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94129" TargetMode="External"/><Relationship Id="rId14" Type="http://schemas.openxmlformats.org/officeDocument/2006/relationships/hyperlink" Target="http://www.sec.gov/cgi-bin/browse-edgar?action=getcompany&amp;CIK=00018298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2021-02-05T16:07:41Z</dcterms:created>
  <dcterms:modified xsi:type="dcterms:W3CDTF">2021-02-05T16:07:41Z</dcterms:modified>
</cp:coreProperties>
</file>