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347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4797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van der Horst Edward</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8"/>
              </w:rPr>
              <w:t>C/O SENSEI BIOTHERAPEUTICS, INC.</w:t>
            </w: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1405 RESEARCH BLVD, SUITE 125</w:t>
            </w:r>
          </w:p>
        </w:tc>
      </w:tr>
      <w:tr>
        <w:trPr>
          <w:trHeight w:val="422"/>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ROCKVILLE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MD</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20850</w:t>
            </w: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Sensei Biotherapeutics,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SNSE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02/15/2024</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02/15/2024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w w:val="93"/>
              </w:rPr>
              <w:t>2,843</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0.79</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56,070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02/15/2024</w:t>
            </w:r>
          </w:p>
        </w:tc>
        <w:tc>
          <w:tcPr>
            <w:tcW w:w="1080" w:type="dxa"/>
            <w:vAlign w:val="bottom"/>
          </w:tcPr>
          <w:p>
            <w:pPr>
              <w:spacing w:after="0"/>
              <w:rPr>
                <w:sz w:val="17"/>
                <w:szCs w:val="17"/>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3"/>
                <w:szCs w:val="13"/>
                <w:color w:val="0000FF"/>
              </w:rPr>
              <w:t>125,000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02/14/2034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w w:val="94"/>
              </w:rPr>
              <w:t>125,000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83"/>
              <w:spacing w:after="0"/>
              <w:rPr>
                <w:sz w:val="20"/>
                <w:szCs w:val="20"/>
                <w:color w:val="auto"/>
              </w:rPr>
            </w:pPr>
            <w:r>
              <w:rPr>
                <w:rFonts w:ascii="Times New Roman" w:cs="Times New Roman" w:eastAsia="Times New Roman" w:hAnsi="Times New Roman"/>
                <w:sz w:val="13"/>
                <w:szCs w:val="13"/>
                <w:color w:val="0000FF"/>
              </w:rPr>
              <w:t>125,000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ind w:left="12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02/15/2024</w:t>
            </w:r>
          </w:p>
        </w:tc>
        <w:tc>
          <w:tcPr>
            <w:tcW w:w="1080" w:type="dxa"/>
            <w:vAlign w:val="bottom"/>
          </w:tcPr>
          <w:p>
            <w:pPr>
              <w:spacing w:after="0"/>
              <w:rPr>
                <w:sz w:val="12"/>
                <w:szCs w:val="12"/>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color w:val="0000FF"/>
              </w:rPr>
              <w:t>90,102</w:t>
            </w: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02/14/2034</w:t>
            </w:r>
          </w:p>
        </w:tc>
        <w:tc>
          <w:tcPr>
            <w:tcW w:w="62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90,102</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3"/>
                <w:szCs w:val="13"/>
                <w:color w:val="0000FF"/>
              </w:rPr>
              <w:t>90,102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withholding tax obligations upon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an aggregate of 6,000 shares purchased by the Reporting Person since May 16, 2023 pursuant to the Issuer's 2021 Employee Stock Purchase Plan.</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over a period of four years as follows: 25% of the total number of shares subject to the option shall vest on February 15, 2025, and the remainder will vest 1/48th of total number of shares subject to the option monthly thereafter over the remaining three years, subject to the Reporting Person's continuous service with the Issuer as of each such date.</w:t>
      </w:r>
    </w:p>
    <w:p>
      <w:pPr>
        <w:spacing w:after="0" w:line="19"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one-third of the Reporting Person's 2023 annual bonus, which the Compensation Committee of the Issuer determined to pay in the form of a stock option in lieu of cash. 100% of the shares are fully vested as of the date of grant.</w:t>
      </w:r>
    </w:p>
    <w:p>
      <w:pPr>
        <w:spacing w:after="0" w:line="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Mark Ballantyne, Attorney-</w:t>
            </w:r>
          </w:p>
        </w:tc>
        <w:tc>
          <w:tcPr>
            <w:tcW w:w="18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02/16/2024</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749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2024-02-16T17:39:22Z</dcterms:created>
  <dcterms:modified xsi:type="dcterms:W3CDTF">2024-02-16T17:39:22Z</dcterms:modified>
</cp:coreProperties>
</file>