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3660" w:right="1620" w:hanging="3639"/>
        <w:spacing w:after="0" w:line="213" w:lineRule="auto"/>
        <w:tabs>
          <w:tab w:leader="none" w:pos="485"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spacing w:after="0" w:line="14" w:lineRule="exact"/>
        <w:rPr>
          <w:sz w:val="24"/>
          <w:szCs w:val="24"/>
          <w:color w:val="auto"/>
        </w:rPr>
      </w:pPr>
    </w:p>
    <w:p>
      <w:pPr>
        <w:ind w:left="48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001-39980</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Sensei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p>
      <w:pPr>
        <w:spacing w:after="0" w:line="200" w:lineRule="exact"/>
        <w:rPr>
          <w:sz w:val="24"/>
          <w:szCs w:val="24"/>
          <w:color w:val="auto"/>
        </w:rPr>
      </w:pPr>
    </w:p>
    <w:p>
      <w:pPr>
        <w:spacing w:after="0" w:line="226" w:lineRule="exact"/>
        <w:rPr>
          <w:sz w:val="24"/>
          <w:szCs w:val="24"/>
          <w:color w:val="auto"/>
        </w:rPr>
      </w:pPr>
    </w:p>
    <w:p>
      <w:pPr>
        <w:jc w:val="center"/>
        <w:ind w:right="150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83-1863385</w:t>
      </w:r>
    </w:p>
    <w:p>
      <w:pPr>
        <w:spacing w:after="0" w:line="37"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78" w:lineRule="exact"/>
        <w:rPr>
          <w:sz w:val="24"/>
          <w:szCs w:val="24"/>
          <w:color w:val="auto"/>
        </w:rPr>
      </w:pPr>
    </w:p>
    <w:p>
      <w:pPr>
        <w:sectPr>
          <w:pgSz w:w="11900" w:h="16838" w:orient="portrait"/>
          <w:cols w:equalWidth="0" w:num="2">
            <w:col w:w="7140" w:space="720"/>
            <w:col w:w="3380"/>
          </w:cols>
          <w:pgMar w:left="320" w:top="688" w:right="339" w:bottom="1440" w:gutter="0" w:footer="0" w:header="0"/>
          <w:type w:val="continuous"/>
        </w:sectPr>
      </w:pPr>
    </w:p>
    <w:tbl>
      <w:tblPr>
        <w:tblLayout w:type="fixed"/>
        <w:tblInd w:w="1620" w:type="dxa"/>
        <w:tblCellMar>
          <w:top w:w="0" w:type="dxa"/>
          <w:left w:w="0" w:type="dxa"/>
          <w:bottom w:w="0" w:type="dxa"/>
          <w:right w:w="0" w:type="dxa"/>
        </w:tblCellMar>
      </w:tblPr>
      <w:tr>
        <w:trPr>
          <w:trHeight w:val="184"/>
        </w:trPr>
        <w:tc>
          <w:tcPr>
            <w:tcW w:w="4440" w:type="dxa"/>
            <w:vAlign w:val="bottom"/>
          </w:tcPr>
          <w:p>
            <w:pPr>
              <w:jc w:val="center"/>
              <w:ind w:right="1962"/>
              <w:spacing w:after="0"/>
              <w:rPr>
                <w:sz w:val="20"/>
                <w:szCs w:val="20"/>
                <w:color w:val="auto"/>
              </w:rPr>
            </w:pPr>
            <w:r>
              <w:rPr>
                <w:rFonts w:ascii="Arial" w:cs="Arial" w:eastAsia="Arial" w:hAnsi="Arial"/>
                <w:sz w:val="16"/>
                <w:szCs w:val="16"/>
                <w:b w:val="1"/>
                <w:bCs w:val="1"/>
                <w:color w:val="auto"/>
                <w:w w:val="90"/>
              </w:rPr>
              <w:t>451 D Street, Suite 710</w:t>
            </w:r>
          </w:p>
        </w:tc>
        <w:tc>
          <w:tcPr>
            <w:tcW w:w="270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02210</w:t>
            </w:r>
          </w:p>
        </w:tc>
        <w:tc>
          <w:tcPr>
            <w:tcW w:w="0" w:type="dxa"/>
            <w:vAlign w:val="bottom"/>
          </w:tcPr>
          <w:p>
            <w:pPr>
              <w:spacing w:after="0"/>
              <w:rPr>
                <w:sz w:val="1"/>
                <w:szCs w:val="1"/>
                <w:color w:val="auto"/>
              </w:rPr>
            </w:pPr>
          </w:p>
        </w:tc>
      </w:tr>
      <w:tr>
        <w:trPr>
          <w:trHeight w:val="194"/>
        </w:trPr>
        <w:tc>
          <w:tcPr>
            <w:tcW w:w="4440" w:type="dxa"/>
            <w:vAlign w:val="bottom"/>
          </w:tcPr>
          <w:p>
            <w:pPr>
              <w:jc w:val="center"/>
              <w:ind w:right="1962"/>
              <w:spacing w:after="0"/>
              <w:rPr>
                <w:sz w:val="20"/>
                <w:szCs w:val="20"/>
                <w:color w:val="auto"/>
              </w:rPr>
            </w:pPr>
            <w:r>
              <w:rPr>
                <w:rFonts w:ascii="Arial" w:cs="Arial" w:eastAsia="Arial" w:hAnsi="Arial"/>
                <w:sz w:val="16"/>
                <w:szCs w:val="16"/>
                <w:b w:val="1"/>
                <w:bCs w:val="1"/>
                <w:color w:val="auto"/>
                <w:w w:val="94"/>
              </w:rPr>
              <w:t>Boston, MA</w:t>
            </w:r>
          </w:p>
        </w:tc>
        <w:tc>
          <w:tcPr>
            <w:tcW w:w="2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00" w:type="dxa"/>
            <w:vAlign w:val="bottom"/>
          </w:tcPr>
          <w:p>
            <w:pPr>
              <w:jc w:val="center"/>
              <w:ind w:left="196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(240) 243-8000</w:t>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4500" w:type="dxa"/>
            <w:vAlign w:val="bottom"/>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1"/>
              </w:rPr>
              <w:t>SNSE</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89" w:lineRule="exact"/>
        <w:rPr>
          <w:sz w:val="24"/>
          <w:szCs w:val="24"/>
          <w:color w:val="auto"/>
        </w:rPr>
      </w:pPr>
    </w:p>
    <w:p>
      <w:pPr>
        <w:ind w:right="3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ind w:right="36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20"/>
        <w:spacing w:after="0" w:line="25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8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40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5"/>
        </w:trPr>
        <w:tc>
          <w:tcPr>
            <w:tcW w:w="1680" w:type="dxa"/>
            <w:vAlign w:val="bottom"/>
          </w:tcPr>
          <w:p>
            <w:pPr>
              <w:spacing w:after="0"/>
              <w:rPr>
                <w:sz w:val="20"/>
                <w:szCs w:val="20"/>
                <w:color w:val="auto"/>
              </w:rPr>
            </w:pPr>
            <w:r>
              <w:rPr>
                <w:rFonts w:ascii="Arial" w:cs="Arial" w:eastAsia="Arial" w:hAnsi="Arial"/>
                <w:sz w:val="16"/>
                <w:szCs w:val="16"/>
                <w:color w:val="auto"/>
              </w:rPr>
              <w:t>Non-accelerated filer</w:t>
            </w:r>
          </w:p>
        </w:tc>
        <w:tc>
          <w:tcPr>
            <w:tcW w:w="38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40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5"/>
        </w:trPr>
        <w:tc>
          <w:tcPr>
            <w:tcW w:w="1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360" w:type="dxa"/>
            <w:vAlign w:val="bottom"/>
          </w:tcPr>
          <w:p>
            <w:pPr>
              <w:ind w:left="340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780"/>
        <w:spacing w:after="0" w:line="22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November 4, 2022 was 30,720,291.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vMerge w:val="restart"/>
          </w:tcPr>
          <w:p>
            <w:pPr>
              <w:spacing w:after="0"/>
              <w:rPr>
                <w:sz w:val="20"/>
                <w:szCs w:val="20"/>
                <w:color w:val="auto"/>
              </w:rPr>
            </w:pPr>
            <w:r>
              <w:rPr>
                <w:rFonts w:ascii="Arial" w:cs="Arial" w:eastAsia="Arial" w:hAnsi="Arial"/>
                <w:sz w:val="18"/>
                <w:szCs w:val="18"/>
                <w:color w:val="0563C1"/>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140" w:type="dxa"/>
            <w:vAlign w:val="bottom"/>
            <w:gridSpan w:val="2"/>
            <w:vMerge w:val="continue"/>
          </w:tcPr>
          <w:p>
            <w:pPr>
              <w:spacing w:after="0"/>
              <w:rPr>
                <w:sz w:val="13"/>
                <w:szCs w:val="13"/>
                <w:color w:val="auto"/>
              </w:rPr>
            </w:pPr>
          </w:p>
        </w:tc>
        <w:tc>
          <w:tcPr>
            <w:tcW w:w="9300" w:type="dxa"/>
            <w:vAlign w:val="bottom"/>
            <w:gridSpan w:val="19"/>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20" w:type="dxa"/>
            <w:vAlign w:val="bottom"/>
            <w:vMerge w:val="restart"/>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4240" w:type="dxa"/>
            <w:vAlign w:val="bottom"/>
            <w:tcBorders>
              <w:bottom w:val="single" w:sz="8" w:color="0563C1"/>
            </w:tcBorders>
            <w:gridSpan w:val="12"/>
          </w:tcPr>
          <w:p>
            <w:pPr>
              <w:spacing w:after="0" w:line="182" w:lineRule="exact"/>
              <w:rPr>
                <w:sz w:val="20"/>
                <w:szCs w:val="20"/>
                <w:color w:val="auto"/>
              </w:rPr>
            </w:pPr>
            <w:r>
              <w:rPr>
                <w:rFonts w:ascii="Arial" w:cs="Arial" w:eastAsia="Arial" w:hAnsi="Arial"/>
                <w:sz w:val="18"/>
                <w:szCs w:val="18"/>
                <w:color w:val="0563C1"/>
                <w:w w:val="88"/>
              </w:rPr>
              <w:t>Condensed Consolidated Financial Statements (Unaudited)</w:t>
            </w:r>
          </w:p>
        </w:tc>
        <w:tc>
          <w:tcPr>
            <w:tcW w:w="5040" w:type="dxa"/>
            <w:vAlign w:val="bottom"/>
            <w:gridSpan w:val="6"/>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60" w:type="dxa"/>
            <w:vAlign w:val="bottom"/>
            <w:gridSpan w:val="13"/>
          </w:tcPr>
          <w:p>
            <w:pPr>
              <w:spacing w:after="0" w:line="182" w:lineRule="exact"/>
              <w:rPr>
                <w:sz w:val="20"/>
                <w:szCs w:val="20"/>
                <w:color w:val="auto"/>
              </w:rPr>
            </w:pPr>
            <w:r>
              <w:rPr>
                <w:rFonts w:ascii="Arial" w:cs="Arial" w:eastAsia="Arial" w:hAnsi="Arial"/>
                <w:sz w:val="18"/>
                <w:szCs w:val="18"/>
                <w:color w:val="0563C1"/>
              </w:rPr>
              <w:t>Condensed Consolidated Balance Sheets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6380" w:type="dxa"/>
            <w:vAlign w:val="bottom"/>
            <w:gridSpan w:val="9"/>
            <w:vMerge w:val="restart"/>
          </w:tcPr>
          <w:p>
            <w:pPr>
              <w:spacing w:after="0" w:line="202" w:lineRule="exact"/>
              <w:rPr>
                <w:sz w:val="20"/>
                <w:szCs w:val="20"/>
                <w:color w:val="auto"/>
              </w:rPr>
            </w:pPr>
            <w:r>
              <w:rPr>
                <w:rFonts w:ascii="Arial" w:cs="Arial" w:eastAsia="Arial" w:hAnsi="Arial"/>
                <w:sz w:val="18"/>
                <w:szCs w:val="18"/>
                <w:color w:val="0563C1"/>
              </w:rPr>
              <w:t>Operations and Comprehensive Loss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10"/>
          </w:tcPr>
          <w:p>
            <w:pPr>
              <w:spacing w:after="0" w:line="182" w:lineRule="exact"/>
              <w:rPr>
                <w:sz w:val="20"/>
                <w:szCs w:val="20"/>
                <w:color w:val="auto"/>
              </w:rPr>
            </w:pPr>
            <w:r>
              <w:rPr>
                <w:rFonts w:ascii="Arial" w:cs="Arial" w:eastAsia="Arial" w:hAnsi="Arial"/>
                <w:sz w:val="18"/>
                <w:szCs w:val="18"/>
                <w:color w:val="0563C1"/>
                <w:w w:val="91"/>
              </w:rPr>
              <w:t>Condensed Consolidated Statements of</w:t>
            </w:r>
          </w:p>
        </w:tc>
        <w:tc>
          <w:tcPr>
            <w:tcW w:w="638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160" w:type="dxa"/>
            <w:vAlign w:val="bottom"/>
            <w:shd w:val="clear" w:color="auto" w:fill="0563C1"/>
          </w:tcPr>
          <w:p>
            <w:pPr>
              <w:spacing w:after="0" w:line="20" w:lineRule="exact"/>
              <w:rPr>
                <w:sz w:val="1"/>
                <w:szCs w:val="1"/>
                <w:color w:val="auto"/>
              </w:rPr>
            </w:pPr>
          </w:p>
        </w:tc>
        <w:tc>
          <w:tcPr>
            <w:tcW w:w="3780" w:type="dxa"/>
            <w:vAlign w:val="bottom"/>
            <w:gridSpan w:val="3"/>
            <w:vMerge w:val="restart"/>
          </w:tcPr>
          <w:p>
            <w:pPr>
              <w:ind w:left="160"/>
              <w:spacing w:after="0" w:line="202" w:lineRule="exact"/>
              <w:rPr>
                <w:sz w:val="20"/>
                <w:szCs w:val="20"/>
                <w:color w:val="auto"/>
              </w:rPr>
            </w:pPr>
            <w:r>
              <w:rPr>
                <w:rFonts w:ascii="Arial" w:cs="Arial" w:eastAsia="Arial" w:hAnsi="Arial"/>
                <w:sz w:val="18"/>
                <w:szCs w:val="18"/>
                <w:color w:val="0563C1"/>
              </w:rPr>
              <w:t>Stock and Stockholders’ Equity (Deficit)</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20" w:type="dxa"/>
            <w:vAlign w:val="bottom"/>
            <w:gridSpan w:val="16"/>
          </w:tcPr>
          <w:p>
            <w:pPr>
              <w:spacing w:after="0" w:line="182" w:lineRule="exact"/>
              <w:rPr>
                <w:sz w:val="20"/>
                <w:szCs w:val="20"/>
                <w:color w:val="auto"/>
              </w:rPr>
            </w:pPr>
            <w:r>
              <w:rPr>
                <w:rFonts w:ascii="Arial" w:cs="Arial" w:eastAsia="Arial" w:hAnsi="Arial"/>
                <w:sz w:val="18"/>
                <w:szCs w:val="18"/>
                <w:color w:val="0563C1"/>
                <w:w w:val="87"/>
              </w:rPr>
              <w:t>Condensed Consolidated Statements of Convertible Preferred Stock, Common</w:t>
            </w:r>
          </w:p>
        </w:tc>
        <w:tc>
          <w:tcPr>
            <w:tcW w:w="378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80" w:type="dxa"/>
            <w:vAlign w:val="bottom"/>
            <w:gridSpan w:val="18"/>
          </w:tcPr>
          <w:p>
            <w:pPr>
              <w:spacing w:after="0" w:line="182" w:lineRule="exact"/>
              <w:rPr>
                <w:sz w:val="20"/>
                <w:szCs w:val="20"/>
                <w:color w:val="auto"/>
              </w:rPr>
            </w:pPr>
            <w:r>
              <w:rPr>
                <w:rFonts w:ascii="Arial" w:cs="Arial" w:eastAsia="Arial" w:hAnsi="Arial"/>
                <w:sz w:val="18"/>
                <w:szCs w:val="18"/>
                <w:color w:val="0563C1"/>
              </w:rPr>
              <w:t>Condensed Consolidated Statements of Cash Flows</w:t>
            </w:r>
          </w:p>
        </w:tc>
        <w:tc>
          <w:tcPr>
            <w:tcW w:w="6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9"/>
          </w:tcPr>
          <w:p>
            <w:pPr>
              <w:spacing w:after="0" w:line="182" w:lineRule="exact"/>
              <w:rPr>
                <w:sz w:val="20"/>
                <w:szCs w:val="20"/>
                <w:color w:val="auto"/>
              </w:rPr>
            </w:pPr>
            <w:r>
              <w:rPr>
                <w:rFonts w:ascii="Arial" w:cs="Arial" w:eastAsia="Arial" w:hAnsi="Arial"/>
                <w:sz w:val="18"/>
                <w:szCs w:val="18"/>
                <w:color w:val="0563C1"/>
              </w:rPr>
              <w:t>Notes to Condensed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60" w:type="dxa"/>
            <w:vAlign w:val="bottom"/>
            <w:gridSpan w:val="3"/>
            <w:shd w:val="clear" w:color="auto" w:fill="0563C1"/>
          </w:tcPr>
          <w:p>
            <w:pPr>
              <w:spacing w:after="0" w:line="20" w:lineRule="exact"/>
              <w:rPr>
                <w:sz w:val="1"/>
                <w:szCs w:val="1"/>
                <w:color w:val="auto"/>
              </w:rPr>
            </w:pPr>
          </w:p>
        </w:tc>
        <w:tc>
          <w:tcPr>
            <w:tcW w:w="5320" w:type="dxa"/>
            <w:vAlign w:val="bottom"/>
            <w:gridSpan w:val="7"/>
            <w:vMerge w:val="restart"/>
          </w:tcPr>
          <w:p>
            <w:pPr>
              <w:spacing w:after="0" w:line="202" w:lineRule="exact"/>
              <w:rPr>
                <w:sz w:val="20"/>
                <w:szCs w:val="20"/>
                <w:color w:val="auto"/>
              </w:rPr>
            </w:pPr>
            <w:r>
              <w:rPr>
                <w:rFonts w:ascii="Arial" w:cs="Arial" w:eastAsia="Arial" w:hAnsi="Arial"/>
                <w:sz w:val="18"/>
                <w:szCs w:val="18"/>
                <w:color w:val="0563C1"/>
              </w:rPr>
              <w:t>Condition and Results of 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3980" w:type="dxa"/>
            <w:vAlign w:val="bottom"/>
            <w:gridSpan w:val="12"/>
          </w:tcPr>
          <w:p>
            <w:pPr>
              <w:spacing w:after="0" w:line="182" w:lineRule="exact"/>
              <w:rPr>
                <w:sz w:val="20"/>
                <w:szCs w:val="20"/>
                <w:color w:val="auto"/>
              </w:rPr>
            </w:pPr>
            <w:r>
              <w:rPr>
                <w:rFonts w:ascii="Arial" w:cs="Arial" w:eastAsia="Arial" w:hAnsi="Arial"/>
                <w:sz w:val="18"/>
                <w:szCs w:val="18"/>
                <w:color w:val="0563C1"/>
                <w:w w:val="95"/>
              </w:rPr>
              <w:t>Management’s Discussion and Analysis of Financial</w:t>
            </w:r>
          </w:p>
        </w:tc>
        <w:tc>
          <w:tcPr>
            <w:tcW w:w="5320" w:type="dxa"/>
            <w:vAlign w:val="bottom"/>
            <w:gridSpan w:val="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100" w:type="dxa"/>
            <w:vAlign w:val="bottom"/>
            <w:gridSpan w:val="2"/>
            <w:shd w:val="clear" w:color="auto" w:fill="0563C1"/>
          </w:tcPr>
          <w:p>
            <w:pPr>
              <w:spacing w:after="0" w:line="20" w:lineRule="exact"/>
              <w:rPr>
                <w:sz w:val="1"/>
                <w:szCs w:val="1"/>
                <w:color w:val="auto"/>
              </w:rPr>
            </w:pPr>
          </w:p>
        </w:tc>
        <w:tc>
          <w:tcPr>
            <w:tcW w:w="2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6460" w:type="dxa"/>
            <w:vAlign w:val="bottom"/>
            <w:gridSpan w:val="17"/>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940" w:type="dxa"/>
            <w:vAlign w:val="bottom"/>
            <w:gridSpan w:val="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60" w:type="dxa"/>
            <w:vAlign w:val="bottom"/>
            <w:gridSpan w:val="15"/>
          </w:tcPr>
          <w:p>
            <w:pPr>
              <w:spacing w:after="0" w:line="182" w:lineRule="exact"/>
              <w:rPr>
                <w:sz w:val="20"/>
                <w:szCs w:val="20"/>
                <w:color w:val="auto"/>
              </w:rPr>
            </w:pPr>
            <w:r>
              <w:rPr>
                <w:rFonts w:ascii="Arial" w:cs="Arial" w:eastAsia="Arial" w:hAnsi="Arial"/>
                <w:sz w:val="18"/>
                <w:szCs w:val="18"/>
                <w:color w:val="0563C1"/>
              </w:rPr>
              <w:t>Controls and Procedures</w:t>
            </w:r>
          </w:p>
        </w:tc>
        <w:tc>
          <w:tcPr>
            <w:tcW w:w="494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vMerge w:val="continue"/>
          </w:tcPr>
          <w:p>
            <w:pPr>
              <w:spacing w:after="0"/>
              <w:rPr>
                <w:sz w:val="24"/>
                <w:szCs w:val="24"/>
                <w:color w:val="auto"/>
              </w:rPr>
            </w:pPr>
          </w:p>
        </w:tc>
        <w:tc>
          <w:tcPr>
            <w:tcW w:w="9300" w:type="dxa"/>
            <w:vAlign w:val="bottom"/>
            <w:gridSpan w:val="19"/>
          </w:tcPr>
          <w:p>
            <w:pPr>
              <w:spacing w:after="0"/>
              <w:rPr>
                <w:sz w:val="20"/>
                <w:szCs w:val="20"/>
                <w:color w:val="auto"/>
              </w:rPr>
            </w:pPr>
            <w:r>
              <w:rPr>
                <w:rFonts w:ascii="Arial" w:cs="Arial" w:eastAsia="Arial" w:hAnsi="Arial"/>
                <w:sz w:val="18"/>
                <w:szCs w:val="18"/>
                <w:color w:val="0563C1"/>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020" w:type="dxa"/>
            <w:vAlign w:val="bottom"/>
            <w:gridSpan w:val="5"/>
            <w:vMerge w:val="restart"/>
          </w:tcPr>
          <w:p>
            <w:pPr>
              <w:spacing w:after="0" w:line="20" w:lineRule="exact"/>
              <w:rPr>
                <w:sz w:val="1"/>
                <w:szCs w:val="1"/>
                <w:color w:val="auto"/>
              </w:rPr>
            </w:pPr>
          </w:p>
        </w:tc>
        <w:tc>
          <w:tcPr>
            <w:tcW w:w="49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880" w:type="dxa"/>
            <w:vAlign w:val="bottom"/>
            <w:gridSpan w:val="7"/>
          </w:tcPr>
          <w:p>
            <w:pPr>
              <w:spacing w:after="0" w:line="182" w:lineRule="exact"/>
              <w:rPr>
                <w:sz w:val="20"/>
                <w:szCs w:val="20"/>
                <w:color w:val="auto"/>
              </w:rPr>
            </w:pPr>
            <w:r>
              <w:rPr>
                <w:rFonts w:ascii="Arial" w:cs="Arial" w:eastAsia="Arial" w:hAnsi="Arial"/>
                <w:sz w:val="18"/>
                <w:szCs w:val="18"/>
                <w:color w:val="0563C1"/>
              </w:rPr>
              <w:t>Legal Proceedings</w:t>
            </w:r>
          </w:p>
        </w:tc>
        <w:tc>
          <w:tcPr>
            <w:tcW w:w="440" w:type="dxa"/>
            <w:vAlign w:val="bottom"/>
            <w:gridSpan w:val="2"/>
            <w:vMerge w:val="continue"/>
          </w:tcPr>
          <w:p>
            <w:pPr>
              <w:spacing w:after="0"/>
              <w:rPr>
                <w:sz w:val="15"/>
                <w:szCs w:val="15"/>
                <w:color w:val="auto"/>
              </w:rPr>
            </w:pPr>
          </w:p>
        </w:tc>
        <w:tc>
          <w:tcPr>
            <w:tcW w:w="2020" w:type="dxa"/>
            <w:vAlign w:val="bottom"/>
            <w:gridSpan w:val="5"/>
            <w:vMerge w:val="continue"/>
          </w:tcPr>
          <w:p>
            <w:pPr>
              <w:spacing w:after="0"/>
              <w:rPr>
                <w:sz w:val="15"/>
                <w:szCs w:val="15"/>
                <w:color w:val="auto"/>
              </w:rPr>
            </w:pPr>
          </w:p>
        </w:tc>
        <w:tc>
          <w:tcPr>
            <w:tcW w:w="49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0" w:type="dxa"/>
            <w:vAlign w:val="bottom"/>
            <w:gridSpan w:val="4"/>
            <w:vMerge w:val="restart"/>
          </w:tcPr>
          <w:p>
            <w:pPr>
              <w:spacing w:after="0" w:line="20" w:lineRule="exact"/>
              <w:rPr>
                <w:sz w:val="1"/>
                <w:szCs w:val="1"/>
                <w:color w:val="auto"/>
              </w:rPr>
            </w:pPr>
          </w:p>
        </w:tc>
        <w:tc>
          <w:tcPr>
            <w:tcW w:w="2020" w:type="dxa"/>
            <w:vAlign w:val="bottom"/>
            <w:gridSpan w:val="5"/>
            <w:vMerge w:val="restart"/>
          </w:tcPr>
          <w:p>
            <w:pPr>
              <w:spacing w:after="0" w:line="20" w:lineRule="exact"/>
              <w:rPr>
                <w:sz w:val="1"/>
                <w:szCs w:val="1"/>
                <w:color w:val="auto"/>
              </w:rPr>
            </w:pPr>
          </w:p>
        </w:tc>
        <w:tc>
          <w:tcPr>
            <w:tcW w:w="49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20" w:type="dxa"/>
            <w:vAlign w:val="bottom"/>
            <w:gridSpan w:val="5"/>
          </w:tcPr>
          <w:p>
            <w:pPr>
              <w:spacing w:after="0" w:line="182" w:lineRule="exact"/>
              <w:rPr>
                <w:sz w:val="20"/>
                <w:szCs w:val="20"/>
                <w:color w:val="auto"/>
              </w:rPr>
            </w:pPr>
            <w:r>
              <w:rPr>
                <w:rFonts w:ascii="Arial" w:cs="Arial" w:eastAsia="Arial" w:hAnsi="Arial"/>
                <w:sz w:val="18"/>
                <w:szCs w:val="18"/>
                <w:color w:val="0563C1"/>
              </w:rPr>
              <w:t>Risk Factors</w:t>
            </w:r>
          </w:p>
        </w:tc>
        <w:tc>
          <w:tcPr>
            <w:tcW w:w="1000" w:type="dxa"/>
            <w:vAlign w:val="bottom"/>
            <w:gridSpan w:val="4"/>
            <w:vMerge w:val="continue"/>
          </w:tcPr>
          <w:p>
            <w:pPr>
              <w:spacing w:after="0"/>
              <w:rPr>
                <w:sz w:val="15"/>
                <w:szCs w:val="15"/>
                <w:color w:val="auto"/>
              </w:rPr>
            </w:pPr>
          </w:p>
        </w:tc>
        <w:tc>
          <w:tcPr>
            <w:tcW w:w="2020" w:type="dxa"/>
            <w:vAlign w:val="bottom"/>
            <w:gridSpan w:val="5"/>
            <w:vMerge w:val="continue"/>
          </w:tcPr>
          <w:p>
            <w:pPr>
              <w:spacing w:after="0"/>
              <w:rPr>
                <w:sz w:val="15"/>
                <w:szCs w:val="15"/>
                <w:color w:val="auto"/>
              </w:rPr>
            </w:pPr>
          </w:p>
        </w:tc>
        <w:tc>
          <w:tcPr>
            <w:tcW w:w="49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400" w:type="dxa"/>
            <w:vAlign w:val="bottom"/>
            <w:gridSpan w:val="16"/>
            <w:vMerge w:val="restart"/>
          </w:tcPr>
          <w:p>
            <w:pPr>
              <w:ind w:left="60"/>
              <w:spacing w:after="0" w:line="202" w:lineRule="exact"/>
              <w:rPr>
                <w:sz w:val="20"/>
                <w:szCs w:val="20"/>
                <w:color w:val="auto"/>
              </w:rPr>
            </w:pPr>
            <w:r>
              <w:rPr>
                <w:rFonts w:ascii="Arial" w:cs="Arial" w:eastAsia="Arial" w:hAnsi="Arial"/>
                <w:sz w:val="18"/>
                <w:szCs w:val="18"/>
                <w:color w:val="0563C1"/>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00" w:type="dxa"/>
            <w:vAlign w:val="bottom"/>
            <w:gridSpan w:val="3"/>
          </w:tcPr>
          <w:p>
            <w:pPr>
              <w:spacing w:after="0" w:line="182" w:lineRule="exact"/>
              <w:rPr>
                <w:sz w:val="20"/>
                <w:szCs w:val="20"/>
                <w:color w:val="auto"/>
              </w:rPr>
            </w:pPr>
            <w:r>
              <w:rPr>
                <w:rFonts w:ascii="Arial" w:cs="Arial" w:eastAsia="Arial" w:hAnsi="Arial"/>
                <w:sz w:val="18"/>
                <w:szCs w:val="18"/>
                <w:color w:val="0563C1"/>
                <w:w w:val="85"/>
              </w:rPr>
              <w:t>Unregistered</w:t>
            </w:r>
          </w:p>
        </w:tc>
        <w:tc>
          <w:tcPr>
            <w:tcW w:w="840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gridSpan w:val="5"/>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49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40" w:type="dxa"/>
            <w:vAlign w:val="bottom"/>
            <w:gridSpan w:val="14"/>
          </w:tcPr>
          <w:p>
            <w:pPr>
              <w:spacing w:after="0" w:line="182" w:lineRule="exact"/>
              <w:rPr>
                <w:sz w:val="20"/>
                <w:szCs w:val="20"/>
                <w:color w:val="auto"/>
              </w:rPr>
            </w:pPr>
            <w:r>
              <w:rPr>
                <w:rFonts w:ascii="Arial" w:cs="Arial" w:eastAsia="Arial" w:hAnsi="Arial"/>
                <w:sz w:val="18"/>
                <w:szCs w:val="18"/>
                <w:color w:val="0563C1"/>
              </w:rPr>
              <w:t>Defaults Upon Senior Securities</w:t>
            </w:r>
          </w:p>
        </w:tc>
        <w:tc>
          <w:tcPr>
            <w:tcW w:w="49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gridSpan w:val="5"/>
            <w:shd w:val="clear" w:color="auto" w:fill="0563C1"/>
          </w:tcPr>
          <w:p>
            <w:pPr>
              <w:spacing w:after="0" w:line="20" w:lineRule="exact"/>
              <w:rPr>
                <w:sz w:val="1"/>
                <w:szCs w:val="1"/>
                <w:color w:val="auto"/>
              </w:rPr>
            </w:pPr>
          </w:p>
        </w:tc>
        <w:tc>
          <w:tcPr>
            <w:tcW w:w="698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320" w:type="dxa"/>
            <w:vAlign w:val="bottom"/>
            <w:gridSpan w:val="9"/>
          </w:tcPr>
          <w:p>
            <w:pPr>
              <w:spacing w:after="0" w:line="182" w:lineRule="exact"/>
              <w:rPr>
                <w:sz w:val="20"/>
                <w:szCs w:val="20"/>
                <w:color w:val="auto"/>
              </w:rPr>
            </w:pPr>
            <w:r>
              <w:rPr>
                <w:rFonts w:ascii="Arial" w:cs="Arial" w:eastAsia="Arial" w:hAnsi="Arial"/>
                <w:sz w:val="18"/>
                <w:szCs w:val="18"/>
                <w:color w:val="0563C1"/>
              </w:rPr>
              <w:t>Mine Safety Disclosures</w:t>
            </w:r>
          </w:p>
        </w:tc>
        <w:tc>
          <w:tcPr>
            <w:tcW w:w="698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754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760" w:type="dxa"/>
            <w:vAlign w:val="bottom"/>
            <w:gridSpan w:val="6"/>
          </w:tcPr>
          <w:p>
            <w:pPr>
              <w:spacing w:after="0" w:line="182" w:lineRule="exact"/>
              <w:rPr>
                <w:sz w:val="20"/>
                <w:szCs w:val="20"/>
                <w:color w:val="auto"/>
              </w:rPr>
            </w:pPr>
            <w:r>
              <w:rPr>
                <w:rFonts w:ascii="Arial" w:cs="Arial" w:eastAsia="Arial" w:hAnsi="Arial"/>
                <w:sz w:val="18"/>
                <w:szCs w:val="18"/>
                <w:color w:val="0563C1"/>
              </w:rPr>
              <w:t>Other Information</w:t>
            </w:r>
          </w:p>
        </w:tc>
        <w:tc>
          <w:tcPr>
            <w:tcW w:w="754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800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00" w:type="dxa"/>
            <w:vAlign w:val="bottom"/>
            <w:gridSpan w:val="4"/>
          </w:tcPr>
          <w:p>
            <w:pPr>
              <w:spacing w:after="0" w:line="182" w:lineRule="exact"/>
              <w:rPr>
                <w:sz w:val="20"/>
                <w:szCs w:val="20"/>
                <w:color w:val="auto"/>
              </w:rPr>
            </w:pPr>
            <w:r>
              <w:rPr>
                <w:rFonts w:ascii="Arial" w:cs="Arial" w:eastAsia="Arial" w:hAnsi="Arial"/>
                <w:sz w:val="18"/>
                <w:szCs w:val="18"/>
                <w:color w:val="0563C1"/>
              </w:rPr>
              <w:t>Exhibits</w:t>
            </w:r>
          </w:p>
        </w:tc>
        <w:tc>
          <w:tcPr>
            <w:tcW w:w="800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563C1"/>
              </w:rPr>
              <w:t>Signatures</w:t>
            </w:r>
          </w:p>
        </w:tc>
        <w:tc>
          <w:tcPr>
            <w:tcW w:w="20" w:type="dxa"/>
            <w:vAlign w:val="bottom"/>
          </w:tcPr>
          <w:p>
            <w:pPr>
              <w:spacing w:after="0"/>
              <w:rPr>
                <w:sz w:val="15"/>
                <w:szCs w:val="15"/>
                <w:color w:val="auto"/>
              </w:rPr>
            </w:pPr>
          </w:p>
        </w:tc>
        <w:tc>
          <w:tcPr>
            <w:tcW w:w="580" w:type="dxa"/>
            <w:vAlign w:val="bottom"/>
            <w:tcBorders>
              <w:top w:val="single" w:sz="8" w:color="0563C1"/>
            </w:tcBorders>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76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SENSEI BIOTHERAPEUTICS, INC.</w:t>
      </w: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7,159</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105,108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140,462</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r>
      <w:tr>
        <w:trPr>
          <w:trHeight w:val="209"/>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118,482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148,542</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8"/>
                <w:szCs w:val="18"/>
                <w:color w:val="auto"/>
              </w:rPr>
              <w:t>Right of use assets - operating leases, net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5,662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use assets - financing leases, net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Pr>
          <w:p>
            <w:pPr>
              <w:spacing w:after="0"/>
              <w:rPr>
                <w:sz w:val="18"/>
                <w:szCs w:val="18"/>
                <w:color w:val="auto"/>
              </w:rPr>
            </w:pPr>
          </w:p>
        </w:tc>
      </w:tr>
      <w:tr>
        <w:trPr>
          <w:trHeight w:val="216"/>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128,803</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153,225</w:t>
            </w:r>
          </w:p>
        </w:tc>
        <w:tc>
          <w:tcPr>
            <w:tcW w:w="100" w:type="dxa"/>
            <w:vAlign w:val="bottom"/>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200"/>
              <w:spacing w:after="0"/>
              <w:rPr>
                <w:sz w:val="20"/>
                <w:szCs w:val="20"/>
                <w:color w:val="auto"/>
              </w:rPr>
            </w:pPr>
            <w:r>
              <w:rPr>
                <w:rFonts w:ascii="Arial" w:cs="Arial" w:eastAsia="Arial" w:hAnsi="Arial"/>
                <w:sz w:val="18"/>
                <w:szCs w:val="18"/>
                <w:color w:val="auto"/>
              </w:rPr>
              <w:t>Compensation and employee benefits liabilities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Financing lease liabilities, current</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FF0FC"/>
            </w:tcBorders>
          </w:tcPr>
          <w:p>
            <w:pPr>
              <w:spacing w:after="0"/>
              <w:rPr>
                <w:sz w:val="18"/>
                <w:szCs w:val="18"/>
                <w:color w:val="auto"/>
              </w:rPr>
            </w:pPr>
          </w:p>
        </w:tc>
      </w:tr>
      <w:tr>
        <w:trPr>
          <w:trHeight w:val="210"/>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4,889</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4,643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lease liabilities, non-current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r>
      <w:tr>
        <w:trPr>
          <w:trHeight w:val="210"/>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14,817</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6,712</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8"/>
                <w:szCs w:val="18"/>
                <w:color w:val="auto"/>
              </w:rPr>
              <w:t>Commitments and contingencies (Note 7)</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2"/>
        </w:trPr>
        <w:tc>
          <w:tcPr>
            <w:tcW w:w="7420" w:type="dxa"/>
            <w:vAlign w:val="bottom"/>
          </w:tcPr>
          <w:p>
            <w:pPr>
              <w:ind w:left="20"/>
              <w:spacing w:after="0" w:line="162" w:lineRule="exact"/>
              <w:rPr>
                <w:sz w:val="20"/>
                <w:szCs w:val="20"/>
                <w:color w:val="auto"/>
              </w:rPr>
            </w:pPr>
            <w:r>
              <w:rPr>
                <w:rFonts w:ascii="Arial" w:cs="Arial" w:eastAsia="Arial" w:hAnsi="Arial"/>
                <w:sz w:val="18"/>
                <w:szCs w:val="18"/>
                <w:color w:val="auto"/>
                <w:w w:val="95"/>
              </w:rPr>
              <w:t>Common stock, $0.0001 par value and 250,000,000 shares authorized as of September 30, 2022</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7420" w:type="dxa"/>
            <w:vAlign w:val="bottom"/>
          </w:tcPr>
          <w:p>
            <w:pPr>
              <w:ind w:left="20"/>
              <w:spacing w:after="0" w:line="189" w:lineRule="exact"/>
              <w:rPr>
                <w:sz w:val="20"/>
                <w:szCs w:val="20"/>
                <w:color w:val="auto"/>
              </w:rPr>
            </w:pPr>
            <w:r>
              <w:rPr>
                <w:rFonts w:ascii="Arial" w:cs="Arial" w:eastAsia="Arial" w:hAnsi="Arial"/>
                <w:sz w:val="18"/>
                <w:szCs w:val="18"/>
                <w:color w:val="auto"/>
                <w:w w:val="93"/>
              </w:rPr>
              <w:t>and December 31, 2021; 30,720,921 and 30,609,029 shares issued and outstanding at September</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7420" w:type="dxa"/>
            <w:vAlign w:val="bottom"/>
          </w:tcPr>
          <w:p>
            <w:pPr>
              <w:ind w:left="20"/>
              <w:spacing w:after="0"/>
              <w:rPr>
                <w:sz w:val="20"/>
                <w:szCs w:val="20"/>
                <w:color w:val="auto"/>
              </w:rPr>
            </w:pPr>
            <w:r>
              <w:rPr>
                <w:rFonts w:ascii="Arial" w:cs="Arial" w:eastAsia="Arial" w:hAnsi="Arial"/>
                <w:sz w:val="18"/>
                <w:szCs w:val="18"/>
                <w:color w:val="auto"/>
              </w:rPr>
              <w:t>30, 2022 and December 31, 2021, respectively</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r>
      <w:tr>
        <w:trPr>
          <w:trHeight w:val="216"/>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300,750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296,049</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(185,562 )</w:t>
            </w:r>
          </w:p>
        </w:tc>
        <w:tc>
          <w:tcPr>
            <w:tcW w:w="2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(149,206 )</w:t>
            </w:r>
          </w:p>
        </w:tc>
      </w:tr>
      <w:tr>
        <w:trPr>
          <w:trHeight w:val="216"/>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(1,205 )</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(333 )</w:t>
            </w:r>
          </w:p>
        </w:tc>
      </w:tr>
      <w:tr>
        <w:trPr>
          <w:trHeight w:val="210"/>
        </w:trPr>
        <w:tc>
          <w:tcPr>
            <w:tcW w:w="74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113,986</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146,513</w:t>
            </w:r>
          </w:p>
        </w:tc>
        <w:tc>
          <w:tcPr>
            <w:tcW w:w="100" w:type="dxa"/>
            <w:vAlign w:val="bottom"/>
            <w:tcBorders>
              <w:top w:val="single" w:sz="8" w:color="CFF0FC"/>
            </w:tcBorders>
          </w:tcPr>
          <w:p>
            <w:pPr>
              <w:spacing w:after="0"/>
              <w:rPr>
                <w:sz w:val="18"/>
                <w:szCs w:val="18"/>
                <w:color w:val="auto"/>
              </w:rPr>
            </w:pPr>
          </w:p>
        </w:tc>
      </w:tr>
      <w:tr>
        <w:trPr>
          <w:trHeight w:val="250"/>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128,803</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153,225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-3076575</wp:posOffset>
            </wp:positionV>
            <wp:extent cx="685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-2082165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-316865</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4160"/>
        <w:spacing w:after="0"/>
        <w:rPr>
          <w:sz w:val="20"/>
          <w:szCs w:val="20"/>
          <w:color w:val="auto"/>
        </w:rPr>
      </w:pPr>
      <w:r>
        <w:rPr>
          <w:rFonts w:ascii="Arial" w:cs="Arial" w:eastAsia="Arial" w:hAnsi="Arial"/>
          <w:sz w:val="18"/>
          <w:szCs w:val="18"/>
          <w:b w:val="1"/>
          <w:bCs w:val="1"/>
          <w:color w:val="auto"/>
        </w:rPr>
        <w:t>SENSEI BIOTHERAPEUTICS, INC.</w:t>
      </w:r>
    </w:p>
    <w:p>
      <w:pPr>
        <w:spacing w:after="0" w:line="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00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2640" w:type="dxa"/>
            <w:vAlign w:val="bottom"/>
            <w:gridSpan w:val="7"/>
          </w:tcPr>
          <w:p>
            <w:pPr>
              <w:ind w:left="40"/>
              <w:spacing w:after="0"/>
              <w:rPr>
                <w:sz w:val="20"/>
                <w:szCs w:val="20"/>
                <w:color w:val="auto"/>
              </w:rPr>
            </w:pPr>
            <w:r>
              <w:rPr>
                <w:rFonts w:ascii="Arial" w:cs="Arial" w:eastAsia="Arial" w:hAnsi="Arial"/>
                <w:sz w:val="14"/>
                <w:szCs w:val="14"/>
                <w:b w:val="1"/>
                <w:bCs w:val="1"/>
                <w:color w:val="auto"/>
                <w:w w:val="99"/>
              </w:rPr>
              <w:t>For the Nine Months Ended September</w:t>
            </w: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300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1"/>
              </w:rPr>
              <w:t>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9,190</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6,443</w:t>
            </w:r>
          </w:p>
        </w:tc>
        <w:tc>
          <w:tcPr>
            <w:tcW w:w="2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23,038</w:t>
            </w:r>
          </w:p>
        </w:tc>
        <w:tc>
          <w:tcPr>
            <w:tcW w:w="80" w:type="dxa"/>
            <w:vAlign w:val="bottom"/>
          </w:tcPr>
          <w:p>
            <w:pPr>
              <w:spacing w:after="0"/>
              <w:rPr>
                <w:sz w:val="18"/>
                <w:szCs w:val="18"/>
                <w:color w:val="auto"/>
              </w:rPr>
            </w:pP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4,751</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3,873</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14,102</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13,941</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(10,316</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(37,140</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(10 )</w:t>
            </w:r>
          </w:p>
        </w:tc>
        <w:tc>
          <w:tcPr>
            <w:tcW w:w="32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(214 )</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(425 )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 on Debt Extinguishment</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(0.44 )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(0.32 )</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(1.18 )</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0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Weighted-average number of shares used in computing net loss per</w:t>
            </w:r>
          </w:p>
        </w:tc>
        <w:tc>
          <w:tcPr>
            <w:tcW w:w="22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30,720,291</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30,588,495</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5"/>
              </w:rPr>
              <w:t>30,690,175</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26,736,745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shd w:val="clear" w:color="auto" w:fill="CFF0FC"/>
          </w:tcPr>
          <w:p>
            <w:pPr>
              <w:ind w:left="20"/>
              <w:spacing w:after="0" w:line="190" w:lineRule="exact"/>
              <w:rPr>
                <w:sz w:val="20"/>
                <w:szCs w:val="20"/>
                <w:color w:val="auto"/>
              </w:rPr>
            </w:pPr>
            <w:r>
              <w:rPr>
                <w:rFonts w:ascii="Arial" w:cs="Arial" w:eastAsia="Arial" w:hAnsi="Arial"/>
                <w:sz w:val="18"/>
                <w:szCs w:val="18"/>
                <w:color w:val="auto"/>
              </w:rPr>
              <w:t>common share, basic and diluted</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60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(13,416 )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(9,685 )</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(36,356 )</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(27,428 )</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Other comprehensive items: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 (loss) on marketable securities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(872 )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tcPr>
          <w:p>
            <w:pPr>
              <w:ind w:left="20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(872 )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49"/>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comprehensive loss</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(37,228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-2416810</wp:posOffset>
            </wp:positionV>
            <wp:extent cx="7683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-2416810</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-2416810</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-1293495</wp:posOffset>
            </wp:positionV>
            <wp:extent cx="7683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-1293495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-1293495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-890905</wp:posOffset>
            </wp:positionV>
            <wp:extent cx="285432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4325" cy="16319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-316230</wp:posOffset>
            </wp:positionV>
            <wp:extent cx="7683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-316230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-316230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7"/>
          <w:szCs w:val="17"/>
          <w:b w:val="1"/>
          <w:bCs w:val="1"/>
          <w:color w:val="auto"/>
        </w:rPr>
        <w:t>SENSEI BIOTHERAPEUTICS,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CONVERTIBLE PREFERRED STOCK, COMMON STOCK AND STOCKHOLDERS’ EQUITY</w:t>
      </w:r>
    </w:p>
    <w:p>
      <w:pPr>
        <w:spacing w:after="0" w:line="7"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(DEFICIT)</w:t>
      </w:r>
    </w:p>
    <w:p>
      <w:pPr>
        <w:spacing w:after="0" w:line="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7"/>
          <w:szCs w:val="17"/>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 except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w w:val="98"/>
              </w:rPr>
              <w:t>Addition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820" w:type="dxa"/>
            <w:vAlign w:val="bottom"/>
            <w:gridSpan w:val="5"/>
          </w:tcPr>
          <w:p>
            <w:pPr>
              <w:jc w:val="right"/>
              <w:ind w:right="420"/>
              <w:spacing w:after="0" w:line="135" w:lineRule="exact"/>
              <w:rPr>
                <w:sz w:val="20"/>
                <w:szCs w:val="20"/>
                <w:color w:val="auto"/>
              </w:rPr>
            </w:pPr>
            <w:r>
              <w:rPr>
                <w:rFonts w:ascii="Arial" w:cs="Arial" w:eastAsia="Arial" w:hAnsi="Arial"/>
                <w:sz w:val="13"/>
                <w:szCs w:val="13"/>
                <w:b w:val="1"/>
                <w:bCs w:val="1"/>
                <w:color w:val="auto"/>
              </w:rPr>
              <w:t>Convertible Preferred</w:t>
            </w:r>
          </w:p>
        </w:tc>
        <w:tc>
          <w:tcPr>
            <w:tcW w:w="1920" w:type="dxa"/>
            <w:vAlign w:val="bottom"/>
            <w:tcBorders>
              <w:right w:val="single" w:sz="8" w:color="auto"/>
            </w:tcBorders>
            <w:gridSpan w:val="5"/>
          </w:tcPr>
          <w:p>
            <w:pPr>
              <w:jc w:val="right"/>
              <w:ind w:right="280"/>
              <w:spacing w:after="0" w:line="135" w:lineRule="exact"/>
              <w:rPr>
                <w:sz w:val="20"/>
                <w:szCs w:val="20"/>
                <w:color w:val="auto"/>
              </w:rPr>
            </w:pPr>
            <w:r>
              <w:rPr>
                <w:rFonts w:ascii="Arial" w:cs="Arial" w:eastAsia="Arial" w:hAnsi="Arial"/>
                <w:sz w:val="13"/>
                <w:szCs w:val="13"/>
                <w:b w:val="1"/>
                <w:bCs w:val="1"/>
                <w:color w:val="auto"/>
                <w:w w:val="94"/>
              </w:rPr>
              <w:t>Convertible Preferred Stock</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al Paid-</w:t>
            </w:r>
          </w:p>
        </w:tc>
        <w:tc>
          <w:tcPr>
            <w:tcW w:w="220" w:type="dxa"/>
            <w:vAlign w:val="bottom"/>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Accumulat</w:t>
            </w:r>
          </w:p>
        </w:tc>
        <w:tc>
          <w:tcPr>
            <w:tcW w:w="10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182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Stock (Series AA)</w:t>
            </w:r>
          </w:p>
        </w:tc>
        <w:tc>
          <w:tcPr>
            <w:tcW w:w="1920" w:type="dxa"/>
            <w:vAlign w:val="bottom"/>
            <w:tcBorders>
              <w:right w:val="single" w:sz="8" w:color="auto"/>
            </w:tcBorders>
            <w:gridSpan w:val="5"/>
          </w:tcPr>
          <w:p>
            <w:pPr>
              <w:jc w:val="right"/>
              <w:ind w:right="740"/>
              <w:spacing w:after="0"/>
              <w:rPr>
                <w:sz w:val="20"/>
                <w:szCs w:val="20"/>
                <w:color w:val="auto"/>
              </w:rPr>
            </w:pPr>
            <w:r>
              <w:rPr>
                <w:rFonts w:ascii="Arial" w:cs="Arial" w:eastAsia="Arial" w:hAnsi="Arial"/>
                <w:sz w:val="13"/>
                <w:szCs w:val="13"/>
                <w:b w:val="1"/>
                <w:bCs w:val="1"/>
                <w:color w:val="auto"/>
              </w:rPr>
              <w:t>(Series BB)</w:t>
            </w:r>
          </w:p>
        </w:tc>
        <w:tc>
          <w:tcPr>
            <w:tcW w:w="120" w:type="dxa"/>
            <w:vAlign w:val="bottom"/>
          </w:tcPr>
          <w:p>
            <w:pPr>
              <w:spacing w:after="0"/>
              <w:rPr>
                <w:sz w:val="16"/>
                <w:szCs w:val="16"/>
                <w:color w:val="auto"/>
              </w:rPr>
            </w:pPr>
          </w:p>
        </w:tc>
        <w:tc>
          <w:tcPr>
            <w:tcW w:w="1040" w:type="dxa"/>
            <w:vAlign w:val="bottom"/>
            <w:gridSpan w:val="3"/>
          </w:tcPr>
          <w:p>
            <w:pPr>
              <w:ind w:left="140"/>
              <w:spacing w:after="0"/>
              <w:rPr>
                <w:sz w:val="20"/>
                <w:szCs w:val="20"/>
                <w:color w:val="auto"/>
              </w:rPr>
            </w:pPr>
            <w:r>
              <w:rPr>
                <w:rFonts w:ascii="Arial" w:cs="Arial" w:eastAsia="Arial" w:hAnsi="Arial"/>
                <w:sz w:val="13"/>
                <w:szCs w:val="13"/>
                <w:b w:val="1"/>
                <w:bCs w:val="1"/>
                <w:color w:val="auto"/>
                <w:w w:val="92"/>
              </w:rPr>
              <w:t>Common Stock</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153"/>
              <w:spacing w:after="0"/>
              <w:rPr>
                <w:sz w:val="20"/>
                <w:szCs w:val="20"/>
                <w:color w:val="auto"/>
              </w:rPr>
            </w:pPr>
            <w:r>
              <w:rPr>
                <w:rFonts w:ascii="Arial" w:cs="Arial" w:eastAsia="Arial" w:hAnsi="Arial"/>
                <w:sz w:val="13"/>
                <w:szCs w:val="13"/>
                <w:b w:val="1"/>
                <w:bCs w:val="1"/>
                <w:color w:val="auto"/>
              </w:rPr>
              <w:t>In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ed</w:t>
            </w:r>
          </w:p>
        </w:tc>
        <w:tc>
          <w:tcPr>
            <w:tcW w:w="120" w:type="dxa"/>
            <w:vAlign w:val="bottom"/>
          </w:tcPr>
          <w:p>
            <w:pPr>
              <w:spacing w:after="0"/>
              <w:rPr>
                <w:sz w:val="16"/>
                <w:szCs w:val="16"/>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Other</w:t>
            </w: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30"/>
        </w:trPr>
        <w:tc>
          <w:tcPr>
            <w:tcW w:w="2380" w:type="dxa"/>
            <w:vAlign w:val="bottom"/>
          </w:tcPr>
          <w:p>
            <w:pPr>
              <w:spacing w:after="0"/>
              <w:rPr>
                <w:sz w:val="11"/>
                <w:szCs w:val="11"/>
                <w:color w:val="auto"/>
              </w:rPr>
            </w:pPr>
          </w:p>
        </w:tc>
        <w:tc>
          <w:tcPr>
            <w:tcW w:w="74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240" w:type="dxa"/>
            <w:vAlign w:val="bottom"/>
            <w:vMerge w:val="restart"/>
          </w:tcPr>
          <w:p>
            <w:pPr>
              <w:spacing w:after="0"/>
              <w:rPr>
                <w:sz w:val="11"/>
                <w:szCs w:val="11"/>
                <w:color w:val="auto"/>
              </w:rPr>
            </w:pPr>
          </w:p>
        </w:tc>
        <w:tc>
          <w:tcPr>
            <w:tcW w:w="6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vMerge w:val="restart"/>
          </w:tcPr>
          <w:p>
            <w:pPr>
              <w:spacing w:after="0"/>
              <w:rPr>
                <w:sz w:val="11"/>
                <w:szCs w:val="11"/>
                <w:color w:val="auto"/>
              </w:rPr>
            </w:pPr>
          </w:p>
        </w:tc>
        <w:tc>
          <w:tcPr>
            <w:tcW w:w="74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240" w:type="dxa"/>
            <w:vAlign w:val="bottom"/>
            <w:vMerge w:val="restart"/>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right w:val="single" w:sz="8" w:color="auto"/>
            </w:tcBorders>
            <w:vMerge w:val="restart"/>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1"/>
                <w:szCs w:val="11"/>
                <w:color w:val="auto"/>
              </w:rPr>
            </w:pPr>
          </w:p>
        </w:tc>
        <w:tc>
          <w:tcPr>
            <w:tcW w:w="420" w:type="dxa"/>
            <w:vAlign w:val="bottom"/>
            <w:tcBorders>
              <w:top w:val="single" w:sz="8" w:color="auto"/>
            </w:tcBorders>
            <w:gridSpan w:val="2"/>
          </w:tcPr>
          <w:p>
            <w:pPr>
              <w:ind w:left="40"/>
              <w:spacing w:after="0" w:line="130" w:lineRule="exact"/>
              <w:rPr>
                <w:sz w:val="20"/>
                <w:szCs w:val="20"/>
                <w:color w:val="auto"/>
              </w:rPr>
            </w:pPr>
            <w:r>
              <w:rPr>
                <w:rFonts w:ascii="Arial" w:cs="Arial" w:eastAsia="Arial" w:hAnsi="Arial"/>
                <w:sz w:val="13"/>
                <w:szCs w:val="13"/>
                <w:b w:val="1"/>
                <w:bCs w:val="1"/>
                <w:color w:val="auto"/>
                <w:w w:val="97"/>
              </w:rPr>
              <w:t>Amou</w:t>
            </w:r>
          </w:p>
        </w:tc>
        <w:tc>
          <w:tcPr>
            <w:tcW w:w="22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Deficit</w:t>
            </w:r>
          </w:p>
        </w:tc>
        <w:tc>
          <w:tcPr>
            <w:tcW w:w="220" w:type="dxa"/>
            <w:vAlign w:val="bottom"/>
            <w:vMerge w:val="restart"/>
          </w:tcPr>
          <w:p>
            <w:pPr>
              <w:spacing w:after="0"/>
              <w:rPr>
                <w:sz w:val="11"/>
                <w:szCs w:val="11"/>
                <w:color w:val="auto"/>
              </w:rPr>
            </w:pPr>
          </w:p>
        </w:tc>
        <w:tc>
          <w:tcPr>
            <w:tcW w:w="1020" w:type="dxa"/>
            <w:vAlign w:val="bottom"/>
            <w:gridSpan w:val="3"/>
          </w:tcPr>
          <w:p>
            <w:pPr>
              <w:ind w:left="40"/>
              <w:spacing w:after="0" w:line="130" w:lineRule="exact"/>
              <w:rPr>
                <w:sz w:val="20"/>
                <w:szCs w:val="20"/>
                <w:color w:val="auto"/>
              </w:rPr>
            </w:pPr>
            <w:r>
              <w:rPr>
                <w:rFonts w:ascii="Arial" w:cs="Arial" w:eastAsia="Arial" w:hAnsi="Arial"/>
                <w:sz w:val="13"/>
                <w:szCs w:val="13"/>
                <w:b w:val="1"/>
                <w:bCs w:val="1"/>
                <w:color w:val="auto"/>
              </w:rPr>
              <w:t>Comprehens</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0"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w w:val="81"/>
              </w:rPr>
              <w:t>nt</w:t>
            </w:r>
          </w:p>
        </w:tc>
        <w:tc>
          <w:tcPr>
            <w:tcW w:w="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6"/>
              </w:rPr>
              <w:t>ive Loss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4"/>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80" w:type="dxa"/>
            <w:vAlign w:val="bottom"/>
            <w:shd w:val="clear" w:color="auto" w:fill="CFF0FC"/>
          </w:tcPr>
          <w:p>
            <w:pPr>
              <w:ind w:left="20"/>
              <w:spacing w:after="0" w:line="132" w:lineRule="exact"/>
              <w:rPr>
                <w:sz w:val="20"/>
                <w:szCs w:val="20"/>
                <w:color w:val="auto"/>
              </w:rPr>
            </w:pPr>
            <w:r>
              <w:rPr>
                <w:rFonts w:ascii="Arial" w:cs="Arial" w:eastAsia="Arial" w:hAnsi="Arial"/>
                <w:sz w:val="13"/>
                <w:szCs w:val="13"/>
                <w:b w:val="1"/>
                <w:bCs w:val="1"/>
                <w:color w:val="auto"/>
              </w:rPr>
              <w:t>Balance at December 31, 2020</w:t>
            </w:r>
          </w:p>
        </w:tc>
        <w:tc>
          <w:tcPr>
            <w:tcW w:w="740" w:type="dxa"/>
            <w:vAlign w:val="bottom"/>
            <w:shd w:val="clear" w:color="auto" w:fill="CFF0FC"/>
          </w:tcPr>
          <w:p>
            <w:pPr>
              <w:jc w:val="right"/>
              <w:spacing w:after="0" w:line="132" w:lineRule="exact"/>
              <w:rPr>
                <w:sz w:val="20"/>
                <w:szCs w:val="20"/>
                <w:color w:val="auto"/>
              </w:rPr>
            </w:pPr>
            <w:r>
              <w:rPr>
                <w:rFonts w:ascii="Arial" w:cs="Arial" w:eastAsia="Arial" w:hAnsi="Arial"/>
                <w:sz w:val="13"/>
                <w:szCs w:val="13"/>
                <w:color w:val="auto"/>
              </w:rPr>
              <w:t>747,683,1</w:t>
            </w:r>
          </w:p>
        </w:tc>
        <w:tc>
          <w:tcPr>
            <w:tcW w:w="2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61,411</w:t>
            </w: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2" w:lineRule="exact"/>
              <w:rPr>
                <w:sz w:val="20"/>
                <w:szCs w:val="20"/>
                <w:color w:val="auto"/>
              </w:rPr>
            </w:pPr>
            <w:r>
              <w:rPr>
                <w:rFonts w:ascii="Arial" w:cs="Arial" w:eastAsia="Arial" w:hAnsi="Arial"/>
                <w:sz w:val="13"/>
                <w:szCs w:val="13"/>
                <w:color w:val="auto"/>
              </w:rPr>
              <w:t>52,680,30</w:t>
            </w:r>
          </w:p>
        </w:tc>
        <w:tc>
          <w:tcPr>
            <w:tcW w:w="24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10,925</w:t>
            </w:r>
          </w:p>
        </w:tc>
        <w:tc>
          <w:tcPr>
            <w:tcW w:w="2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2" w:lineRule="exact"/>
              <w:rPr>
                <w:sz w:val="20"/>
                <w:szCs w:val="20"/>
                <w:color w:val="auto"/>
              </w:rPr>
            </w:pPr>
            <w:r>
              <w:rPr>
                <w:rFonts w:ascii="Arial" w:cs="Arial" w:eastAsia="Arial" w:hAnsi="Arial"/>
                <w:sz w:val="13"/>
                <w:szCs w:val="13"/>
                <w:color w:val="auto"/>
              </w:rPr>
              <w:t>1,875,4</w:t>
            </w:r>
          </w:p>
        </w:tc>
        <w:tc>
          <w:tcPr>
            <w:tcW w:w="220" w:type="dxa"/>
            <w:vAlign w:val="bottom"/>
            <w:vMerge w:val="restart"/>
            <w:shd w:val="clear" w:color="auto" w:fill="CFF0FC"/>
          </w:tcPr>
          <w:p>
            <w:pPr>
              <w:spacing w:after="0"/>
              <w:rPr>
                <w:sz w:val="11"/>
                <w:szCs w:val="11"/>
                <w:color w:val="auto"/>
              </w:rPr>
            </w:pPr>
          </w:p>
        </w:tc>
        <w:tc>
          <w:tcPr>
            <w:tcW w:w="28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5"/>
              </w:rPr>
              <w:t>55,969</w:t>
            </w:r>
          </w:p>
        </w:tc>
        <w:tc>
          <w:tcPr>
            <w:tcW w:w="22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(112,412 )</w:t>
            </w: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(56,443 )</w:t>
            </w:r>
          </w:p>
        </w:tc>
        <w:tc>
          <w:tcPr>
            <w:tcW w:w="0" w:type="dxa"/>
            <w:vAlign w:val="bottom"/>
          </w:tcPr>
          <w:p>
            <w:pPr>
              <w:spacing w:after="0"/>
              <w:rPr>
                <w:sz w:val="1"/>
                <w:szCs w:val="1"/>
                <w:color w:val="auto"/>
              </w:rPr>
            </w:pPr>
          </w:p>
        </w:tc>
      </w:tr>
      <w:tr>
        <w:trPr>
          <w:trHeight w:val="173"/>
        </w:trPr>
        <w:tc>
          <w:tcPr>
            <w:tcW w:w="23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w:t>
            </w:r>
          </w:p>
        </w:tc>
        <w:tc>
          <w:tcPr>
            <w:tcW w:w="24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220" w:type="dxa"/>
            <w:vAlign w:val="bottom"/>
            <w:vMerge w:val="continue"/>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80" w:type="dxa"/>
            <w:vAlign w:val="bottom"/>
            <w:tcBorders>
              <w:top w:val="single" w:sz="8" w:color="CFF0FC"/>
            </w:tcBorders>
          </w:tcPr>
          <w:p>
            <w:pPr>
              <w:ind w:left="200"/>
              <w:spacing w:after="0"/>
              <w:rPr>
                <w:sz w:val="20"/>
                <w:szCs w:val="20"/>
                <w:color w:val="auto"/>
              </w:rPr>
            </w:pPr>
            <w:r>
              <w:rPr>
                <w:rFonts w:ascii="Arial" w:cs="Arial" w:eastAsia="Arial" w:hAnsi="Arial"/>
                <w:sz w:val="13"/>
                <w:szCs w:val="13"/>
                <w:color w:val="auto"/>
              </w:rPr>
              <w:t>Stock-based compensation expense</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right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1,349</w:t>
            </w: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1,349</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80" w:type="dxa"/>
            <w:vAlign w:val="bottom"/>
            <w:shd w:val="clear" w:color="auto" w:fill="CFF0FC"/>
          </w:tcPr>
          <w:p>
            <w:pPr>
              <w:ind w:left="200"/>
              <w:spacing w:after="0" w:line="139" w:lineRule="exact"/>
              <w:rPr>
                <w:sz w:val="20"/>
                <w:szCs w:val="20"/>
                <w:color w:val="auto"/>
              </w:rPr>
            </w:pPr>
            <w:r>
              <w:rPr>
                <w:rFonts w:ascii="Arial" w:cs="Arial" w:eastAsia="Arial" w:hAnsi="Arial"/>
                <w:sz w:val="13"/>
                <w:szCs w:val="13"/>
                <w:color w:val="auto"/>
                <w:w w:val="99"/>
              </w:rPr>
              <w:t>Issuance of series BB preferred stock</w:t>
            </w:r>
          </w:p>
        </w:tc>
        <w:tc>
          <w:tcPr>
            <w:tcW w:w="9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line="139" w:lineRule="exact"/>
              <w:rPr>
                <w:sz w:val="20"/>
                <w:szCs w:val="20"/>
                <w:color w:val="auto"/>
              </w:rPr>
            </w:pPr>
            <w:r>
              <w:rPr>
                <w:rFonts w:ascii="Arial" w:cs="Arial" w:eastAsia="Arial" w:hAnsi="Arial"/>
                <w:sz w:val="13"/>
                <w:szCs w:val="13"/>
                <w:color w:val="auto"/>
              </w:rPr>
              <w:t>113,275,9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23,491</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380" w:type="dxa"/>
            <w:vAlign w:val="bottom"/>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380" w:type="dxa"/>
            <w:vAlign w:val="bottom"/>
          </w:tcPr>
          <w:p>
            <w:pPr>
              <w:ind w:left="200"/>
              <w:spacing w:after="0" w:line="138" w:lineRule="exact"/>
              <w:rPr>
                <w:sz w:val="20"/>
                <w:szCs w:val="20"/>
                <w:color w:val="auto"/>
              </w:rPr>
            </w:pPr>
            <w:r>
              <w:rPr>
                <w:rFonts w:ascii="Arial" w:cs="Arial" w:eastAsia="Arial" w:hAnsi="Arial"/>
                <w:sz w:val="13"/>
                <w:szCs w:val="13"/>
                <w:color w:val="auto"/>
              </w:rPr>
              <w:t>Conversion of preferred stock to</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200"/>
              <w:spacing w:after="0" w:line="135" w:lineRule="exact"/>
              <w:rPr>
                <w:sz w:val="20"/>
                <w:szCs w:val="20"/>
                <w:color w:val="auto"/>
              </w:rPr>
            </w:pPr>
            <w:r>
              <w:rPr>
                <w:rFonts w:ascii="Arial" w:cs="Arial" w:eastAsia="Arial" w:hAnsi="Arial"/>
                <w:sz w:val="13"/>
                <w:szCs w:val="13"/>
                <w:color w:val="auto"/>
              </w:rPr>
              <w:t>common stock upon closing of the</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(747,683,1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(165,956,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19,034,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380" w:type="dxa"/>
            <w:vAlign w:val="bottom"/>
          </w:tcPr>
          <w:p>
            <w:pPr>
              <w:ind w:left="200"/>
              <w:spacing w:after="0"/>
              <w:rPr>
                <w:sz w:val="20"/>
                <w:szCs w:val="20"/>
                <w:color w:val="auto"/>
              </w:rPr>
            </w:pPr>
            <w:r>
              <w:rPr>
                <w:rFonts w:ascii="Arial" w:cs="Arial" w:eastAsia="Arial" w:hAnsi="Arial"/>
                <w:sz w:val="13"/>
                <w:szCs w:val="13"/>
                <w:color w:val="auto"/>
              </w:rPr>
              <w:t>initial public offering</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72 )</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(61,411 )</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208 )</w:t>
            </w:r>
          </w:p>
        </w:tc>
        <w:tc>
          <w:tcPr>
            <w:tcW w:w="10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(34,416 )</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069</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95,826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95,828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80" w:type="dxa"/>
            <w:vAlign w:val="bottom"/>
            <w:shd w:val="clear" w:color="auto" w:fill="CFF0FC"/>
          </w:tcPr>
          <w:p>
            <w:pPr>
              <w:ind w:left="200"/>
              <w:spacing w:after="0" w:line="138" w:lineRule="exact"/>
              <w:rPr>
                <w:sz w:val="20"/>
                <w:szCs w:val="20"/>
                <w:color w:val="auto"/>
              </w:rPr>
            </w:pPr>
            <w:r>
              <w:rPr>
                <w:rFonts w:ascii="Arial" w:cs="Arial" w:eastAsia="Arial" w:hAnsi="Arial"/>
                <w:sz w:val="13"/>
                <w:szCs w:val="13"/>
                <w:color w:val="auto"/>
              </w:rPr>
              <w:t>Issuance of common stock upon</w:t>
            </w: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closing of the initial public offering,</w:t>
            </w: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8,030,2</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5"/>
              </w:rPr>
              <w:t>138,48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3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of issuance costs</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138,489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80" w:type="dxa"/>
            <w:vAlign w:val="bottom"/>
          </w:tcPr>
          <w:p>
            <w:pPr>
              <w:ind w:left="200"/>
              <w:spacing w:after="0" w:line="138" w:lineRule="exact"/>
              <w:rPr>
                <w:sz w:val="20"/>
                <w:szCs w:val="20"/>
                <w:color w:val="auto"/>
              </w:rPr>
            </w:pPr>
            <w:r>
              <w:rPr>
                <w:rFonts w:ascii="Arial" w:cs="Arial" w:eastAsia="Arial" w:hAnsi="Arial"/>
                <w:sz w:val="13"/>
                <w:szCs w:val="13"/>
                <w:color w:val="auto"/>
              </w:rPr>
              <w:t>Exercise of common stock warrants</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1,648,7</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(7,972 )</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(7,972 )</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Balance at March 31, 2021</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vMerge w:val="restart"/>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3"/>
                <w:szCs w:val="13"/>
                <w:color w:val="auto"/>
              </w:rPr>
              <w:t>30,588,</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3"/>
                <w:szCs w:val="13"/>
                <w:color w:val="auto"/>
                <w:w w:val="95"/>
              </w:rPr>
              <w:t>291,63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(120,384 )</w:t>
            </w:r>
          </w:p>
        </w:tc>
        <w:tc>
          <w:tcPr>
            <w:tcW w:w="120" w:type="dxa"/>
            <w:vAlign w:val="bottom"/>
          </w:tcPr>
          <w:p>
            <w:pPr>
              <w:spacing w:after="0"/>
              <w:rPr>
                <w:sz w:val="11"/>
                <w:szCs w:val="11"/>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171,252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1,745</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380" w:type="dxa"/>
            <w:vAlign w:val="bottom"/>
          </w:tcPr>
          <w:p>
            <w:pPr>
              <w:ind w:left="200"/>
              <w:spacing w:after="0" w:line="138" w:lineRule="exact"/>
              <w:rPr>
                <w:sz w:val="20"/>
                <w:szCs w:val="20"/>
                <w:color w:val="auto"/>
              </w:rPr>
            </w:pPr>
            <w:r>
              <w:rPr>
                <w:rFonts w:ascii="Arial" w:cs="Arial" w:eastAsia="Arial" w:hAnsi="Arial"/>
                <w:sz w:val="13"/>
                <w:szCs w:val="13"/>
                <w:color w:val="auto"/>
              </w:rPr>
              <w:t>Unrealized loss on marketable</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(101 )</w:t>
            </w:r>
          </w:p>
        </w:tc>
        <w:tc>
          <w:tcPr>
            <w:tcW w:w="120" w:type="dxa"/>
            <w:vAlign w:val="bottom"/>
          </w:tcPr>
          <w:p>
            <w:pPr>
              <w:spacing w:after="0"/>
              <w:rPr>
                <w:sz w:val="11"/>
                <w:szCs w:val="11"/>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(101 )</w:t>
            </w:r>
          </w:p>
        </w:tc>
        <w:tc>
          <w:tcPr>
            <w:tcW w:w="0" w:type="dxa"/>
            <w:vAlign w:val="bottom"/>
          </w:tcPr>
          <w:p>
            <w:pPr>
              <w:spacing w:after="0"/>
              <w:rPr>
                <w:sz w:val="1"/>
                <w:szCs w:val="1"/>
                <w:color w:val="auto"/>
              </w:rPr>
            </w:pPr>
          </w:p>
        </w:tc>
      </w:tr>
      <w:tr>
        <w:trPr>
          <w:trHeight w:val="173"/>
        </w:trPr>
        <w:tc>
          <w:tcPr>
            <w:tcW w:w="2380" w:type="dxa"/>
            <w:vAlign w:val="bottom"/>
          </w:tcPr>
          <w:p>
            <w:pPr>
              <w:ind w:left="200"/>
              <w:spacing w:after="0"/>
              <w:rPr>
                <w:sz w:val="20"/>
                <w:szCs w:val="20"/>
                <w:color w:val="auto"/>
              </w:rPr>
            </w:pPr>
            <w:r>
              <w:rPr>
                <w:rFonts w:ascii="Arial" w:cs="Arial" w:eastAsia="Arial" w:hAnsi="Arial"/>
                <w:sz w:val="13"/>
                <w:szCs w:val="13"/>
                <w:color w:val="auto"/>
              </w:rPr>
              <w:t>securities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(9,771 )</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(9,771 )</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Balance at June 30, 2021</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vMerge w:val="restart"/>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3"/>
                <w:szCs w:val="13"/>
                <w:color w:val="auto"/>
              </w:rPr>
              <w:t>30,588,</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3"/>
                <w:szCs w:val="13"/>
                <w:color w:val="auto"/>
                <w:w w:val="95"/>
              </w:rPr>
              <w:t>293,37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(130,155 )</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(101 )</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163,125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1,735</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380" w:type="dxa"/>
            <w:vAlign w:val="bottom"/>
          </w:tcPr>
          <w:p>
            <w:pPr>
              <w:ind w:left="200"/>
              <w:spacing w:after="0" w:line="138" w:lineRule="exact"/>
              <w:rPr>
                <w:sz w:val="20"/>
                <w:szCs w:val="20"/>
                <w:color w:val="auto"/>
              </w:rPr>
            </w:pPr>
            <w:r>
              <w:rPr>
                <w:rFonts w:ascii="Arial" w:cs="Arial" w:eastAsia="Arial" w:hAnsi="Arial"/>
                <w:sz w:val="13"/>
                <w:szCs w:val="13"/>
                <w:color w:val="auto"/>
              </w:rPr>
              <w:t>Unrealized gains on marketable</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200"/>
              <w:spacing w:after="0"/>
              <w:rPr>
                <w:sz w:val="20"/>
                <w:szCs w:val="20"/>
                <w:color w:val="auto"/>
              </w:rPr>
            </w:pPr>
            <w:r>
              <w:rPr>
                <w:rFonts w:ascii="Arial" w:cs="Arial" w:eastAsia="Arial" w:hAnsi="Arial"/>
                <w:sz w:val="13"/>
                <w:szCs w:val="13"/>
                <w:color w:val="auto"/>
              </w:rPr>
              <w:t>securities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(9,685 )</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(9,685 )</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Balance at September 30, 2021</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vMerge w:val="restart"/>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3"/>
                <w:szCs w:val="13"/>
                <w:color w:val="auto"/>
              </w:rPr>
              <w:t>30,588,</w:t>
            </w:r>
          </w:p>
        </w:tc>
        <w:tc>
          <w:tcPr>
            <w:tcW w:w="220" w:type="dxa"/>
            <w:vAlign w:val="bottom"/>
            <w:vMerge w:val="restart"/>
          </w:tcPr>
          <w:p>
            <w:pPr>
              <w:spacing w:after="0"/>
              <w:rPr>
                <w:sz w:val="11"/>
                <w:szCs w:val="11"/>
                <w:color w:val="auto"/>
              </w:rPr>
            </w:pPr>
          </w:p>
        </w:tc>
        <w:tc>
          <w:tcPr>
            <w:tcW w:w="2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20" w:type="dxa"/>
            <w:vAlign w:val="bottom"/>
            <w:vMerge w:val="restart"/>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3" w:lineRule="exact"/>
              <w:rPr>
                <w:sz w:val="20"/>
                <w:szCs w:val="20"/>
                <w:color w:val="auto"/>
              </w:rPr>
            </w:pPr>
            <w:r>
              <w:rPr>
                <w:rFonts w:ascii="Arial" w:cs="Arial" w:eastAsia="Arial" w:hAnsi="Arial"/>
                <w:sz w:val="13"/>
                <w:szCs w:val="13"/>
                <w:color w:val="auto"/>
                <w:w w:val="95"/>
              </w:rPr>
              <w:t>295,11</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(139,840 )</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(69 )</w:t>
            </w:r>
          </w:p>
        </w:tc>
        <w:tc>
          <w:tcPr>
            <w:tcW w:w="120" w:type="dxa"/>
            <w:vAlign w:val="bottom"/>
            <w:vMerge w:val="restart"/>
          </w:tcPr>
          <w:p>
            <w:pPr>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155,208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495</w:t>
            </w:r>
          </w:p>
        </w:tc>
        <w:tc>
          <w:tcPr>
            <w:tcW w:w="2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3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38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b w:val="1"/>
                <w:bCs w:val="1"/>
                <w:color w:val="auto"/>
              </w:rPr>
              <w:t>Balance at December 31, 2021</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1" w:lineRule="exact"/>
              <w:rPr>
                <w:sz w:val="20"/>
                <w:szCs w:val="20"/>
                <w:color w:val="auto"/>
              </w:rPr>
            </w:pPr>
            <w:r>
              <w:rPr>
                <w:rFonts w:ascii="Arial" w:cs="Arial" w:eastAsia="Arial" w:hAnsi="Arial"/>
                <w:sz w:val="13"/>
                <w:szCs w:val="13"/>
                <w:color w:val="auto"/>
              </w:rPr>
              <w:t>30,609,</w:t>
            </w:r>
          </w:p>
        </w:tc>
        <w:tc>
          <w:tcPr>
            <w:tcW w:w="220" w:type="dxa"/>
            <w:vAlign w:val="bottom"/>
            <w:vMerge w:val="restart"/>
            <w:shd w:val="clear" w:color="auto" w:fill="CFF0FC"/>
          </w:tcPr>
          <w:p>
            <w:pPr>
              <w:spacing w:after="0"/>
              <w:rPr>
                <w:sz w:val="11"/>
                <w:szCs w:val="11"/>
                <w:color w:val="auto"/>
              </w:rPr>
            </w:pPr>
          </w:p>
        </w:tc>
        <w:tc>
          <w:tcPr>
            <w:tcW w:w="28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spacing w:after="0" w:line="131" w:lineRule="exact"/>
              <w:rPr>
                <w:sz w:val="20"/>
                <w:szCs w:val="20"/>
                <w:color w:val="auto"/>
              </w:rPr>
            </w:pPr>
            <w:r>
              <w:rPr>
                <w:rFonts w:ascii="Arial" w:cs="Arial" w:eastAsia="Arial" w:hAnsi="Arial"/>
                <w:sz w:val="13"/>
                <w:szCs w:val="13"/>
                <w:color w:val="auto"/>
                <w:w w:val="95"/>
              </w:rPr>
              <w:t>296,04</w:t>
            </w:r>
          </w:p>
        </w:tc>
        <w:tc>
          <w:tcPr>
            <w:tcW w:w="22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(149,206 )</w:t>
            </w: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(333 )</w:t>
            </w:r>
          </w:p>
        </w:tc>
        <w:tc>
          <w:tcPr>
            <w:tcW w:w="1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146,513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20" w:type="dxa"/>
            <w:vAlign w:val="bottom"/>
            <w:tcBorders>
              <w:right w:val="single" w:sz="8" w:color="auto"/>
            </w:tcBorders>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029</w:t>
            </w:r>
          </w:p>
        </w:tc>
        <w:tc>
          <w:tcPr>
            <w:tcW w:w="220" w:type="dxa"/>
            <w:vAlign w:val="bottom"/>
            <w:vMerge w:val="continue"/>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2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80" w:type="dxa"/>
            <w:vAlign w:val="bottom"/>
            <w:tcBorders>
              <w:top w:val="single" w:sz="8" w:color="CFF0FC"/>
            </w:tcBorders>
          </w:tcPr>
          <w:p>
            <w:pPr>
              <w:ind w:left="200"/>
              <w:spacing w:after="0"/>
              <w:rPr>
                <w:sz w:val="20"/>
                <w:szCs w:val="20"/>
                <w:color w:val="auto"/>
              </w:rPr>
            </w:pPr>
            <w:r>
              <w:rPr>
                <w:rFonts w:ascii="Arial" w:cs="Arial" w:eastAsia="Arial" w:hAnsi="Arial"/>
                <w:sz w:val="13"/>
                <w:szCs w:val="13"/>
                <w:color w:val="auto"/>
              </w:rPr>
              <w:t>Stock-based compensation expense</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right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1,515</w:t>
            </w: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1,515</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80" w:type="dxa"/>
            <w:vAlign w:val="bottom"/>
            <w:shd w:val="clear" w:color="auto" w:fill="CFF0FC"/>
          </w:tcPr>
          <w:p>
            <w:pPr>
              <w:ind w:left="200"/>
              <w:spacing w:after="0" w:line="139" w:lineRule="exact"/>
              <w:rPr>
                <w:sz w:val="20"/>
                <w:szCs w:val="20"/>
                <w:color w:val="auto"/>
              </w:rPr>
            </w:pPr>
            <w:r>
              <w:rPr>
                <w:rFonts w:ascii="Arial" w:cs="Arial" w:eastAsia="Arial" w:hAnsi="Arial"/>
                <w:sz w:val="13"/>
                <w:szCs w:val="13"/>
                <w:color w:val="auto"/>
              </w:rPr>
              <w:t>Exercise of options into common</w:t>
            </w:r>
          </w:p>
        </w:tc>
        <w:tc>
          <w:tcPr>
            <w:tcW w:w="9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73,784</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w:t>
            </w:r>
          </w:p>
        </w:tc>
        <w:tc>
          <w:tcPr>
            <w:tcW w:w="9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tcBorders>
              <w:right w:val="single" w:sz="8" w:color="auto"/>
            </w:tcBorders>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380" w:type="dxa"/>
            <w:vAlign w:val="bottom"/>
          </w:tcPr>
          <w:p>
            <w:pPr>
              <w:ind w:left="200"/>
              <w:spacing w:after="0" w:line="138" w:lineRule="exact"/>
              <w:rPr>
                <w:sz w:val="20"/>
                <w:szCs w:val="20"/>
                <w:color w:val="auto"/>
              </w:rPr>
            </w:pPr>
            <w:r>
              <w:rPr>
                <w:rFonts w:ascii="Arial" w:cs="Arial" w:eastAsia="Arial" w:hAnsi="Arial"/>
                <w:sz w:val="13"/>
                <w:szCs w:val="13"/>
                <w:color w:val="auto"/>
              </w:rPr>
              <w:t>Employee stock purchase plan</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200"/>
              <w:spacing w:after="0"/>
              <w:rPr>
                <w:sz w:val="20"/>
                <w:szCs w:val="20"/>
                <w:color w:val="auto"/>
              </w:rPr>
            </w:pPr>
            <w:r>
              <w:rPr>
                <w:rFonts w:ascii="Arial" w:cs="Arial" w:eastAsia="Arial" w:hAnsi="Arial"/>
                <w:sz w:val="13"/>
                <w:szCs w:val="13"/>
                <w:color w:val="auto"/>
              </w:rPr>
              <w:t>expense</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380" w:type="dxa"/>
            <w:vAlign w:val="bottom"/>
            <w:shd w:val="clear" w:color="auto" w:fill="CFF0FC"/>
          </w:tcPr>
          <w:p>
            <w:pPr>
              <w:ind w:left="200"/>
              <w:spacing w:after="0" w:line="138" w:lineRule="exact"/>
              <w:rPr>
                <w:sz w:val="20"/>
                <w:szCs w:val="20"/>
                <w:color w:val="auto"/>
              </w:rPr>
            </w:pPr>
            <w:r>
              <w:rPr>
                <w:rFonts w:ascii="Arial" w:cs="Arial" w:eastAsia="Arial" w:hAnsi="Arial"/>
                <w:sz w:val="13"/>
                <w:szCs w:val="13"/>
                <w:color w:val="auto"/>
              </w:rPr>
              <w:t>Unrealized loss on marketable</w:t>
            </w:r>
          </w:p>
        </w:tc>
        <w:tc>
          <w:tcPr>
            <w:tcW w:w="9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4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(566 )</w:t>
            </w:r>
          </w:p>
        </w:tc>
        <w:tc>
          <w:tcPr>
            <w:tcW w:w="120" w:type="dxa"/>
            <w:vAlign w:val="bottom"/>
            <w:shd w:val="clear" w:color="auto" w:fill="CFF0FC"/>
          </w:tcPr>
          <w:p>
            <w:pPr>
              <w:spacing w:after="0"/>
              <w:rPr>
                <w:sz w:val="11"/>
                <w:szCs w:val="11"/>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(566 )</w:t>
            </w:r>
          </w:p>
        </w:tc>
        <w:tc>
          <w:tcPr>
            <w:tcW w:w="0" w:type="dxa"/>
            <w:vAlign w:val="bottom"/>
          </w:tcPr>
          <w:p>
            <w:pPr>
              <w:spacing w:after="0"/>
              <w:rPr>
                <w:sz w:val="1"/>
                <w:szCs w:val="1"/>
                <w:color w:val="auto"/>
              </w:rPr>
            </w:pPr>
          </w:p>
        </w:tc>
      </w:tr>
      <w:tr>
        <w:trPr>
          <w:trHeight w:val="173"/>
        </w:trPr>
        <w:tc>
          <w:tcPr>
            <w:tcW w:w="23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securities</w:t>
            </w:r>
          </w:p>
        </w:tc>
        <w:tc>
          <w:tcPr>
            <w:tcW w:w="9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tcBorders>
              <w:right w:val="single" w:sz="8" w:color="auto"/>
            </w:tcBorders>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80" w:type="dxa"/>
            <w:vAlign w:val="bottom"/>
          </w:tcPr>
          <w:p>
            <w:pPr>
              <w:ind w:left="200"/>
              <w:spacing w:after="0"/>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(12,405 )</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(12,405 )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shd w:val="clear" w:color="auto" w:fill="CFF0FC"/>
          </w:tcPr>
          <w:p>
            <w:pPr>
              <w:ind w:left="20"/>
              <w:spacing w:after="0" w:line="133" w:lineRule="exact"/>
              <w:rPr>
                <w:sz w:val="20"/>
                <w:szCs w:val="20"/>
                <w:color w:val="auto"/>
              </w:rPr>
            </w:pPr>
            <w:r>
              <w:rPr>
                <w:rFonts w:ascii="Arial" w:cs="Arial" w:eastAsia="Arial" w:hAnsi="Arial"/>
                <w:sz w:val="13"/>
                <w:szCs w:val="13"/>
                <w:b w:val="1"/>
                <w:bCs w:val="1"/>
                <w:color w:val="auto"/>
              </w:rPr>
              <w:t>Balance at March 31, 2022</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3" w:lineRule="exact"/>
              <w:rPr>
                <w:sz w:val="20"/>
                <w:szCs w:val="20"/>
                <w:color w:val="auto"/>
              </w:rPr>
            </w:pPr>
            <w:r>
              <w:rPr>
                <w:rFonts w:ascii="Arial" w:cs="Arial" w:eastAsia="Arial" w:hAnsi="Arial"/>
                <w:sz w:val="13"/>
                <w:szCs w:val="13"/>
                <w:color w:val="auto"/>
              </w:rPr>
              <w:t>30,682,</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3" w:lineRule="exact"/>
              <w:rPr>
                <w:sz w:val="20"/>
                <w:szCs w:val="20"/>
                <w:color w:val="auto"/>
              </w:rPr>
            </w:pPr>
            <w:r>
              <w:rPr>
                <w:rFonts w:ascii="Arial" w:cs="Arial" w:eastAsia="Arial" w:hAnsi="Arial"/>
                <w:sz w:val="13"/>
                <w:szCs w:val="13"/>
                <w:color w:val="auto"/>
                <w:w w:val="95"/>
              </w:rPr>
              <w:t>297,81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(161,611 )</w:t>
            </w:r>
          </w:p>
        </w:tc>
        <w:tc>
          <w:tcPr>
            <w:tcW w:w="12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(899 )</w:t>
            </w:r>
          </w:p>
        </w:tc>
        <w:tc>
          <w:tcPr>
            <w:tcW w:w="12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135,308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20" w:type="dxa"/>
            <w:vAlign w:val="bottom"/>
            <w:tcBorders>
              <w:right w:val="single" w:sz="8" w:color="auto"/>
            </w:tcBorders>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813</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80" w:type="dxa"/>
            <w:vAlign w:val="bottom"/>
            <w:tcBorders>
              <w:top w:val="single" w:sz="8" w:color="CFF0FC"/>
            </w:tcBorders>
          </w:tcPr>
          <w:p>
            <w:pPr>
              <w:ind w:left="200"/>
              <w:spacing w:after="0"/>
              <w:rPr>
                <w:sz w:val="20"/>
                <w:szCs w:val="20"/>
                <w:color w:val="auto"/>
              </w:rPr>
            </w:pPr>
            <w:r>
              <w:rPr>
                <w:rFonts w:ascii="Arial" w:cs="Arial" w:eastAsia="Arial" w:hAnsi="Arial"/>
                <w:sz w:val="13"/>
                <w:szCs w:val="13"/>
                <w:color w:val="auto"/>
              </w:rPr>
              <w:t>Stock-based compensation expense</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right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1,396</w:t>
            </w: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1,396</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80" w:type="dxa"/>
            <w:vAlign w:val="bottom"/>
            <w:shd w:val="clear" w:color="auto" w:fill="CFF0FC"/>
          </w:tcPr>
          <w:p>
            <w:pPr>
              <w:ind w:left="200"/>
              <w:spacing w:after="0" w:line="139" w:lineRule="exact"/>
              <w:rPr>
                <w:sz w:val="20"/>
                <w:szCs w:val="20"/>
                <w:color w:val="auto"/>
              </w:rPr>
            </w:pPr>
            <w:r>
              <w:rPr>
                <w:rFonts w:ascii="Arial" w:cs="Arial" w:eastAsia="Arial" w:hAnsi="Arial"/>
                <w:sz w:val="13"/>
                <w:szCs w:val="13"/>
                <w:color w:val="auto"/>
              </w:rPr>
              <w:t>Employee stock purchase plan</w:t>
            </w:r>
          </w:p>
        </w:tc>
        <w:tc>
          <w:tcPr>
            <w:tcW w:w="9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37,478</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expense</w:t>
            </w:r>
          </w:p>
        </w:tc>
        <w:tc>
          <w:tcPr>
            <w:tcW w:w="9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tcBorders>
              <w:right w:val="single" w:sz="8" w:color="auto"/>
            </w:tcBorders>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380" w:type="dxa"/>
            <w:vAlign w:val="bottom"/>
          </w:tcPr>
          <w:p>
            <w:pPr>
              <w:ind w:left="200"/>
              <w:spacing w:after="0" w:line="138" w:lineRule="exact"/>
              <w:rPr>
                <w:sz w:val="20"/>
                <w:szCs w:val="20"/>
                <w:color w:val="auto"/>
              </w:rPr>
            </w:pPr>
            <w:r>
              <w:rPr>
                <w:rFonts w:ascii="Arial" w:cs="Arial" w:eastAsia="Arial" w:hAnsi="Arial"/>
                <w:sz w:val="13"/>
                <w:szCs w:val="13"/>
                <w:color w:val="auto"/>
              </w:rPr>
              <w:t>Unrealized loss on marketable</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(313 )</w:t>
            </w:r>
          </w:p>
        </w:tc>
        <w:tc>
          <w:tcPr>
            <w:tcW w:w="120" w:type="dxa"/>
            <w:vAlign w:val="bottom"/>
          </w:tcPr>
          <w:p>
            <w:pPr>
              <w:spacing w:after="0"/>
              <w:rPr>
                <w:sz w:val="11"/>
                <w:szCs w:val="11"/>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(313 )</w:t>
            </w:r>
          </w:p>
        </w:tc>
        <w:tc>
          <w:tcPr>
            <w:tcW w:w="0" w:type="dxa"/>
            <w:vAlign w:val="bottom"/>
          </w:tcPr>
          <w:p>
            <w:pPr>
              <w:spacing w:after="0"/>
              <w:rPr>
                <w:sz w:val="1"/>
                <w:szCs w:val="1"/>
                <w:color w:val="auto"/>
              </w:rPr>
            </w:pPr>
          </w:p>
        </w:tc>
      </w:tr>
      <w:tr>
        <w:trPr>
          <w:trHeight w:val="173"/>
        </w:trPr>
        <w:tc>
          <w:tcPr>
            <w:tcW w:w="2380" w:type="dxa"/>
            <w:vAlign w:val="bottom"/>
          </w:tcPr>
          <w:p>
            <w:pPr>
              <w:ind w:left="200"/>
              <w:spacing w:after="0"/>
              <w:rPr>
                <w:sz w:val="20"/>
                <w:szCs w:val="20"/>
                <w:color w:val="auto"/>
              </w:rPr>
            </w:pPr>
            <w:r>
              <w:rPr>
                <w:rFonts w:ascii="Arial" w:cs="Arial" w:eastAsia="Arial" w:hAnsi="Arial"/>
                <w:sz w:val="13"/>
                <w:szCs w:val="13"/>
                <w:color w:val="auto"/>
              </w:rPr>
              <w:t>securities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(10,535 )</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(10,535 )</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Balance at June 30, 2022</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vMerge w:val="restart"/>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3"/>
                <w:szCs w:val="13"/>
                <w:color w:val="auto"/>
              </w:rPr>
              <w:t>30,720,</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3"/>
                <w:szCs w:val="13"/>
                <w:color w:val="auto"/>
                <w:w w:val="95"/>
              </w:rPr>
              <w:t>299,27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(172,146 )</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(1,212 )</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125,916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1,479</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380" w:type="dxa"/>
            <w:vAlign w:val="bottom"/>
          </w:tcPr>
          <w:p>
            <w:pPr>
              <w:ind w:left="200"/>
              <w:spacing w:after="0" w:line="138" w:lineRule="exact"/>
              <w:rPr>
                <w:sz w:val="20"/>
                <w:szCs w:val="20"/>
                <w:color w:val="auto"/>
              </w:rPr>
            </w:pPr>
            <w:r>
              <w:rPr>
                <w:rFonts w:ascii="Arial" w:cs="Arial" w:eastAsia="Arial" w:hAnsi="Arial"/>
                <w:sz w:val="13"/>
                <w:szCs w:val="13"/>
                <w:color w:val="auto"/>
              </w:rPr>
              <w:t>Unrealized gain on marketable</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200"/>
              <w:spacing w:after="0"/>
              <w:rPr>
                <w:sz w:val="20"/>
                <w:szCs w:val="20"/>
                <w:color w:val="auto"/>
              </w:rPr>
            </w:pPr>
            <w:r>
              <w:rPr>
                <w:rFonts w:ascii="Arial" w:cs="Arial" w:eastAsia="Arial" w:hAnsi="Arial"/>
                <w:sz w:val="13"/>
                <w:szCs w:val="13"/>
                <w:color w:val="auto"/>
              </w:rPr>
              <w:t>securities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(13,416 )</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(13,416 )</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Balance at September 30, 2022</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vMerge w:val="restart"/>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3"/>
                <w:szCs w:val="13"/>
                <w:color w:val="auto"/>
              </w:rPr>
              <w:t>30,720,</w:t>
            </w:r>
          </w:p>
        </w:tc>
        <w:tc>
          <w:tcPr>
            <w:tcW w:w="220" w:type="dxa"/>
            <w:vAlign w:val="bottom"/>
            <w:vMerge w:val="restart"/>
          </w:tcPr>
          <w:p>
            <w:pPr>
              <w:spacing w:after="0"/>
              <w:rPr>
                <w:sz w:val="11"/>
                <w:szCs w:val="11"/>
                <w:color w:val="auto"/>
              </w:rPr>
            </w:pPr>
          </w:p>
        </w:tc>
        <w:tc>
          <w:tcPr>
            <w:tcW w:w="2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20" w:type="dxa"/>
            <w:vAlign w:val="bottom"/>
            <w:vMerge w:val="restart"/>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3" w:lineRule="exact"/>
              <w:rPr>
                <w:sz w:val="20"/>
                <w:szCs w:val="20"/>
                <w:color w:val="auto"/>
              </w:rPr>
            </w:pPr>
            <w:r>
              <w:rPr>
                <w:rFonts w:ascii="Arial" w:cs="Arial" w:eastAsia="Arial" w:hAnsi="Arial"/>
                <w:sz w:val="13"/>
                <w:szCs w:val="13"/>
                <w:color w:val="auto"/>
                <w:w w:val="95"/>
              </w:rPr>
              <w:t>300,75</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(185,562 )</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(1,205 )</w:t>
            </w:r>
          </w:p>
        </w:tc>
        <w:tc>
          <w:tcPr>
            <w:tcW w:w="120" w:type="dxa"/>
            <w:vAlign w:val="bottom"/>
            <w:vMerge w:val="restart"/>
          </w:tcPr>
          <w:p>
            <w:pPr>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113,986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291</w:t>
            </w:r>
          </w:p>
        </w:tc>
        <w:tc>
          <w:tcPr>
            <w:tcW w:w="2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0</w:t>
            </w:r>
          </w:p>
        </w:tc>
        <w:tc>
          <w:tcPr>
            <w:tcW w:w="2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-6081395</wp:posOffset>
            </wp:positionV>
            <wp:extent cx="5173345"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73345" cy="2400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-5657215</wp:posOffset>
            </wp:positionV>
            <wp:extent cx="76835"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-5657215</wp:posOffset>
            </wp:positionV>
            <wp:extent cx="76835"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-5657215</wp:posOffset>
            </wp:positionV>
            <wp:extent cx="7747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-5657215</wp:posOffset>
            </wp:positionV>
            <wp:extent cx="7747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-5657215</wp:posOffset>
            </wp:positionV>
            <wp:extent cx="6858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-5657215</wp:posOffset>
            </wp:positionV>
            <wp:extent cx="6858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-5657215</wp:posOffset>
            </wp:positionV>
            <wp:extent cx="6858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-5657215</wp:posOffset>
            </wp:positionV>
            <wp:extent cx="6858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-5657215</wp:posOffset>
            </wp:positionV>
            <wp:extent cx="6858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-5657215</wp:posOffset>
            </wp:positionV>
            <wp:extent cx="6858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-4448175</wp:posOffset>
            </wp:positionV>
            <wp:extent cx="76835"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-4448175</wp:posOffset>
            </wp:positionV>
            <wp:extent cx="76835"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-4448175</wp:posOffset>
            </wp:positionV>
            <wp:extent cx="77470"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-4448175</wp:posOffset>
            </wp:positionV>
            <wp:extent cx="77470"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-4448175</wp:posOffset>
            </wp:positionV>
            <wp:extent cx="68580" cy="214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-4448175</wp:posOffset>
            </wp:positionV>
            <wp:extent cx="68580" cy="2146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-4448175</wp:posOffset>
            </wp:positionV>
            <wp:extent cx="6858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-4448175</wp:posOffset>
            </wp:positionV>
            <wp:extent cx="68580" cy="214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-4448175</wp:posOffset>
            </wp:positionV>
            <wp:extent cx="68580" cy="214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-4448175</wp:posOffset>
            </wp:positionV>
            <wp:extent cx="68580" cy="21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-3814445</wp:posOffset>
            </wp:positionV>
            <wp:extent cx="76835"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-3814445</wp:posOffset>
            </wp:positionV>
            <wp:extent cx="76835"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-3814445</wp:posOffset>
            </wp:positionV>
            <wp:extent cx="77470" cy="214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-3814445</wp:posOffset>
            </wp:positionV>
            <wp:extent cx="7747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-3814445</wp:posOffset>
            </wp:positionV>
            <wp:extent cx="6858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-3814445</wp:posOffset>
            </wp:positionV>
            <wp:extent cx="68580" cy="214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-3814445</wp:posOffset>
            </wp:positionV>
            <wp:extent cx="68580"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-3814445</wp:posOffset>
            </wp:positionV>
            <wp:extent cx="68580"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-3814445</wp:posOffset>
            </wp:positionV>
            <wp:extent cx="6858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-3814445</wp:posOffset>
            </wp:positionV>
            <wp:extent cx="6858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-3179445</wp:posOffset>
            </wp:positionV>
            <wp:extent cx="76835" cy="4629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4629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-3179445</wp:posOffset>
            </wp:positionV>
            <wp:extent cx="76835" cy="4629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46291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-3179445</wp:posOffset>
            </wp:positionV>
            <wp:extent cx="77470" cy="462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4629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-3179445</wp:posOffset>
            </wp:positionV>
            <wp:extent cx="77470" cy="4629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4629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-3179445</wp:posOffset>
            </wp:positionV>
            <wp:extent cx="68580" cy="4629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-3179445</wp:posOffset>
            </wp:positionV>
            <wp:extent cx="68580" cy="4629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-3179445</wp:posOffset>
            </wp:positionV>
            <wp:extent cx="68580" cy="4629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-3179445</wp:posOffset>
            </wp:positionV>
            <wp:extent cx="68580" cy="4629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-3179445</wp:posOffset>
            </wp:positionV>
            <wp:extent cx="68580" cy="4629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4629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-2519680</wp:posOffset>
            </wp:positionV>
            <wp:extent cx="76835"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-2519680</wp:posOffset>
            </wp:positionV>
            <wp:extent cx="76835"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-2519680</wp:posOffset>
            </wp:positionV>
            <wp:extent cx="77470"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-2519680</wp:posOffset>
            </wp:positionV>
            <wp:extent cx="7747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-2519680</wp:posOffset>
            </wp:positionV>
            <wp:extent cx="6858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-2519680</wp:posOffset>
            </wp:positionV>
            <wp:extent cx="68580"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-2519680</wp:posOffset>
            </wp:positionV>
            <wp:extent cx="68580"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-2519680</wp:posOffset>
            </wp:positionV>
            <wp:extent cx="68580"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-2519680</wp:posOffset>
            </wp:positionV>
            <wp:extent cx="68580"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-1490980</wp:posOffset>
            </wp:positionV>
            <wp:extent cx="76835"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-1490980</wp:posOffset>
            </wp:positionV>
            <wp:extent cx="76835"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-1490980</wp:posOffset>
            </wp:positionV>
            <wp:extent cx="77470"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-1490980</wp:posOffset>
            </wp:positionV>
            <wp:extent cx="77470"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-1490980</wp:posOffset>
            </wp:positionV>
            <wp:extent cx="6858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-1490980</wp:posOffset>
            </wp:positionV>
            <wp:extent cx="6858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-1490980</wp:posOffset>
            </wp:positionV>
            <wp:extent cx="6858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-1490980</wp:posOffset>
            </wp:positionV>
            <wp:extent cx="6858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-1490980</wp:posOffset>
            </wp:positionV>
            <wp:extent cx="68580"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-865505</wp:posOffset>
            </wp:positionV>
            <wp:extent cx="76835"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-865505</wp:posOffset>
            </wp:positionV>
            <wp:extent cx="76835" cy="2146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-865505</wp:posOffset>
            </wp:positionV>
            <wp:extent cx="77470"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-865505</wp:posOffset>
            </wp:positionV>
            <wp:extent cx="77470" cy="214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-865505</wp:posOffset>
            </wp:positionV>
            <wp:extent cx="68580"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-865505</wp:posOffset>
            </wp:positionV>
            <wp:extent cx="68580"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-865505</wp:posOffset>
            </wp:positionV>
            <wp:extent cx="68580"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-865505</wp:posOffset>
            </wp:positionV>
            <wp:extent cx="68580" cy="214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-865505</wp:posOffset>
            </wp:positionV>
            <wp:extent cx="68580"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214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-231140</wp:posOffset>
            </wp:positionV>
            <wp:extent cx="76835" cy="2317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23177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-231140</wp:posOffset>
            </wp:positionV>
            <wp:extent cx="76835" cy="2317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23177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-231140</wp:posOffset>
            </wp:positionV>
            <wp:extent cx="77470" cy="231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23177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-231140</wp:posOffset>
            </wp:positionV>
            <wp:extent cx="77470" cy="2317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23177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-231140</wp:posOffset>
            </wp:positionV>
            <wp:extent cx="68580" cy="2317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-231140</wp:posOffset>
            </wp:positionV>
            <wp:extent cx="68580" cy="2317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-231140</wp:posOffset>
            </wp:positionV>
            <wp:extent cx="68580" cy="2317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-231140</wp:posOffset>
            </wp:positionV>
            <wp:extent cx="68580" cy="231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-231140</wp:posOffset>
            </wp:positionV>
            <wp:extent cx="68580" cy="2317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2317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23177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SENSEI BIOTHERAPEUTICS, INC.</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516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69"/>
        </w:trPr>
        <w:tc>
          <w:tcPr>
            <w:tcW w:w="8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r>
      <w:tr>
        <w:trPr>
          <w:trHeight w:val="196"/>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03"/>
        </w:trPr>
        <w:tc>
          <w:tcPr>
            <w:tcW w:w="81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(36,356 )</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(27,428 )</w:t>
            </w:r>
          </w:p>
        </w:tc>
      </w:tr>
      <w:tr>
        <w:trPr>
          <w:trHeight w:val="203"/>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4,413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4,831</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452</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356</w:t>
            </w: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Accretion on marketable securities</w:t>
            </w:r>
          </w:p>
        </w:tc>
        <w:tc>
          <w:tcPr>
            <w:tcW w:w="2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359</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on capital lease</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Non-cash lease expense</w:t>
            </w:r>
          </w:p>
        </w:tc>
        <w:tc>
          <w:tcPr>
            <w:tcW w:w="2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887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financing lease right-of-use assets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544</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Realized gain on marketable securities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(15 )</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Loss on fixed asset disposition</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w:t>
            </w: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Gain on debt extinguishment</w:t>
            </w:r>
          </w:p>
        </w:tc>
        <w:tc>
          <w:tcPr>
            <w:tcW w:w="2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(567 )</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03"/>
        </w:trPr>
        <w:tc>
          <w:tcPr>
            <w:tcW w:w="8140" w:type="dxa"/>
            <w:vAlign w:val="bottom"/>
          </w:tcPr>
          <w:p>
            <w:pPr>
              <w:ind w:left="380"/>
              <w:spacing w:after="0"/>
              <w:rPr>
                <w:sz w:val="20"/>
                <w:szCs w:val="20"/>
                <w:color w:val="auto"/>
              </w:rPr>
            </w:pPr>
            <w:r>
              <w:rPr>
                <w:rFonts w:ascii="Arial" w:cs="Arial" w:eastAsia="Arial" w:hAnsi="Arial"/>
                <w:sz w:val="16"/>
                <w:szCs w:val="16"/>
                <w:color w:val="auto"/>
              </w:rPr>
              <w:t>Prepaid expenses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(1,040 )</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176</w:t>
            </w:r>
          </w:p>
        </w:tc>
      </w:tr>
      <w:tr>
        <w:trPr>
          <w:trHeight w:val="203"/>
        </w:trPr>
        <w:tc>
          <w:tcPr>
            <w:tcW w:w="8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(242 )</w:t>
            </w:r>
          </w:p>
        </w:tc>
      </w:tr>
      <w:tr>
        <w:trPr>
          <w:trHeight w:val="203"/>
        </w:trPr>
        <w:tc>
          <w:tcPr>
            <w:tcW w:w="814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2,201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(408 )</w:t>
            </w:r>
          </w:p>
        </w:tc>
      </w:tr>
      <w:tr>
        <w:trPr>
          <w:trHeight w:val="203"/>
        </w:trPr>
        <w:tc>
          <w:tcPr>
            <w:tcW w:w="8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Compensation and employee benefits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699</w:t>
            </w:r>
          </w:p>
        </w:tc>
      </w:tr>
      <w:tr>
        <w:trPr>
          <w:trHeight w:val="203"/>
        </w:trPr>
        <w:tc>
          <w:tcPr>
            <w:tcW w:w="814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(833 )</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81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(201 )</w:t>
            </w:r>
          </w:p>
        </w:tc>
      </w:tr>
      <w:tr>
        <w:trPr>
          <w:trHeight w:val="196"/>
        </w:trPr>
        <w:tc>
          <w:tcPr>
            <w:tcW w:w="814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(29,452 )</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(22,391 )</w:t>
            </w:r>
          </w:p>
        </w:tc>
      </w:tr>
      <w:tr>
        <w:trPr>
          <w:trHeight w:val="203"/>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(321 )</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(1,491 )</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property and equipment disposals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318</w:t>
            </w: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Purchases of short-term investments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(65,017 )</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(173,816 )</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Sales of short-term investments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7,864</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11,259</w:t>
            </w: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Maturities of short-term investments</w:t>
            </w:r>
          </w:p>
        </w:tc>
        <w:tc>
          <w:tcPr>
            <w:tcW w:w="2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91,365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15,000</w:t>
            </w:r>
          </w:p>
        </w:tc>
      </w:tr>
      <w:tr>
        <w:trPr>
          <w:trHeight w:val="203"/>
        </w:trPr>
        <w:tc>
          <w:tcPr>
            <w:tcW w:w="8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Proceeds from sale of property and equipment</w:t>
            </w: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96"/>
        </w:trPr>
        <w:tc>
          <w:tcPr>
            <w:tcW w:w="81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33,906</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(148,730 )</w:t>
            </w:r>
          </w:p>
        </w:tc>
      </w:tr>
      <w:tr>
        <w:trPr>
          <w:trHeight w:val="196"/>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Principle payments for financing leases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(452 )</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the exercise of common stock options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238</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Employee stock purchase plan proceeds</w:t>
            </w:r>
          </w:p>
        </w:tc>
        <w:tc>
          <w:tcPr>
            <w:tcW w:w="2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 lease payments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(28 )</w:t>
            </w: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Proceeds on the issuance of series BB convertible preferred stock</w:t>
            </w:r>
          </w:p>
        </w:tc>
        <w:tc>
          <w:tcPr>
            <w:tcW w:w="2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23,491</w:t>
            </w:r>
          </w:p>
        </w:tc>
      </w:tr>
      <w:tr>
        <w:trPr>
          <w:trHeight w:val="203"/>
        </w:trPr>
        <w:tc>
          <w:tcPr>
            <w:tcW w:w="8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Proceeds from issuance of common stock upon initial public offering, net of issuance costs</w:t>
            </w: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140,594</w:t>
            </w:r>
          </w:p>
        </w:tc>
      </w:tr>
      <w:tr>
        <w:trPr>
          <w:trHeight w:val="196"/>
        </w:trPr>
        <w:tc>
          <w:tcPr>
            <w:tcW w:w="8140" w:type="dxa"/>
            <w:vAlign w:val="bottom"/>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(163 )</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164,058</w:t>
            </w:r>
          </w:p>
        </w:tc>
      </w:tr>
      <w:tr>
        <w:trPr>
          <w:trHeight w:val="196"/>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4,291</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(7,063 )</w:t>
            </w:r>
          </w:p>
        </w:tc>
      </w:tr>
      <w:tr>
        <w:trPr>
          <w:trHeight w:val="203"/>
        </w:trPr>
        <w:tc>
          <w:tcPr>
            <w:tcW w:w="814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7,159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16,596</w:t>
            </w:r>
          </w:p>
        </w:tc>
      </w:tr>
      <w:tr>
        <w:trPr>
          <w:trHeight w:val="243"/>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11,450</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9,533</w:t>
            </w:r>
          </w:p>
        </w:tc>
      </w:tr>
      <w:tr>
        <w:trPr>
          <w:trHeight w:val="183"/>
        </w:trPr>
        <w:tc>
          <w:tcPr>
            <w:tcW w:w="814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Supplemental disclosure of noncash financing information:</w:t>
            </w: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203"/>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additions included in accounts payable and accrued liabilities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w:t>
            </w:r>
          </w:p>
        </w:tc>
      </w:tr>
      <w:tr>
        <w:trPr>
          <w:trHeight w:val="203"/>
        </w:trPr>
        <w:tc>
          <w:tcPr>
            <w:tcW w:w="8140" w:type="dxa"/>
            <w:vAlign w:val="bottom"/>
          </w:tcPr>
          <w:p>
            <w:pPr>
              <w:ind w:left="20"/>
              <w:spacing w:after="0"/>
              <w:rPr>
                <w:sz w:val="20"/>
                <w:szCs w:val="20"/>
                <w:color w:val="auto"/>
              </w:rPr>
            </w:pPr>
            <w:r>
              <w:rPr>
                <w:rFonts w:ascii="Arial" w:cs="Arial" w:eastAsia="Arial" w:hAnsi="Arial"/>
                <w:sz w:val="16"/>
                <w:szCs w:val="16"/>
                <w:color w:val="auto"/>
              </w:rPr>
              <w:t>Issuance costs included in accounts payable and accrued liabilities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534</w:t>
            </w:r>
          </w:p>
        </w:tc>
      </w:tr>
      <w:tr>
        <w:trPr>
          <w:trHeight w:val="203"/>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on financing</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r>
      <w:tr>
        <w:trPr>
          <w:trHeight w:val="203"/>
        </w:trPr>
        <w:tc>
          <w:tcPr>
            <w:tcW w:w="8140" w:type="dxa"/>
            <w:vAlign w:val="bottom"/>
          </w:tcPr>
          <w:p>
            <w:pPr>
              <w:ind w:left="20"/>
              <w:spacing w:after="0"/>
              <w:rPr>
                <w:sz w:val="20"/>
                <w:szCs w:val="20"/>
                <w:color w:val="auto"/>
              </w:rPr>
            </w:pPr>
            <w:r>
              <w:rPr>
                <w:rFonts w:ascii="Arial" w:cs="Arial" w:eastAsia="Arial" w:hAnsi="Arial"/>
                <w:sz w:val="16"/>
                <w:szCs w:val="16"/>
                <w:color w:val="auto"/>
              </w:rPr>
              <w:t>Conversion of series AA and BB convertible preferred stock into common stock</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95,826</w:t>
            </w:r>
          </w:p>
        </w:tc>
      </w:tr>
      <w:tr>
        <w:trPr>
          <w:trHeight w:val="203"/>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Initial measurement of operating lease right-of-use assets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6,549</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8140" w:type="dxa"/>
            <w:vAlign w:val="bottom"/>
          </w:tcPr>
          <w:p>
            <w:pPr>
              <w:ind w:left="20"/>
              <w:spacing w:after="0"/>
              <w:rPr>
                <w:sz w:val="20"/>
                <w:szCs w:val="20"/>
                <w:color w:val="auto"/>
              </w:rPr>
            </w:pPr>
            <w:r>
              <w:rPr>
                <w:rFonts w:ascii="Arial" w:cs="Arial" w:eastAsia="Arial" w:hAnsi="Arial"/>
                <w:sz w:val="16"/>
                <w:szCs w:val="16"/>
                <w:color w:val="auto"/>
              </w:rPr>
              <w:t>Initial measurement of operating lease liabilities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5,574</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Initial measurement of finance lease right-of-use assets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-3668395</wp:posOffset>
            </wp:positionV>
            <wp:extent cx="12890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-2630805</wp:posOffset>
            </wp:positionV>
            <wp:extent cx="12890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14605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-1584960</wp:posOffset>
            </wp:positionV>
            <wp:extent cx="128905"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1454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-1053465</wp:posOffset>
            </wp:positionV>
            <wp:extent cx="12890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15430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SENSEI BIOTHERAPEUTICS,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w:t>
      </w:r>
    </w:p>
    <w:p>
      <w:pPr>
        <w:spacing w:after="0" w:line="104"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Sensei Biotherapeutics, Inc. (the “Company” or “Sensei”) is a biopharmaceutical company that was incorporated in 1999 as a Maryland corporation until incorporated in Delaware on December 1, 2017. The Company is focused on the discovery and development of next-generation therapeutics for cancer.</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right="20" w:firstLine="509"/>
        <w:spacing w:after="0" w:line="278" w:lineRule="auto"/>
        <w:rPr>
          <w:sz w:val="20"/>
          <w:szCs w:val="20"/>
          <w:color w:val="auto"/>
        </w:rPr>
      </w:pPr>
      <w:r>
        <w:rPr>
          <w:rFonts w:ascii="Arial" w:cs="Arial" w:eastAsia="Arial" w:hAnsi="Arial"/>
          <w:sz w:val="16"/>
          <w:szCs w:val="16"/>
          <w:color w:val="auto"/>
        </w:rPr>
        <w:t>Since its inception, the Company has devoted substantially all of its resources to advancing development of its portfolio of programs, establishing and protecting its intellectual property, conducting research and development activities, organizing and staffing the Company, business planning, raising capital and providing general and administrative support for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drug development efforts are successful, it is uncertain when, if ever, the Company will realize significant revenue from product sales.</w:t>
      </w:r>
    </w:p>
    <w:p>
      <w:pPr>
        <w:spacing w:after="0" w:line="161"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Since its inception, the Company has incurred substantial losses and had a net loss of $36.4 million for the nine months ended September 30, 2022. As of September 30, 2022, the Company had an accumulated deficit of $185.6 million. The Company expects to generate operating losses and negative operating cash flows for the foreseeable future.</w:t>
      </w:r>
    </w:p>
    <w:p>
      <w:pPr>
        <w:spacing w:after="0" w:line="175"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 February 2021, the Company completed its initial public offering (“IPO”), in which the Company issued and sold 8,030,295 shares of its common stock at a public offering price of $19.00 per share, for aggregate gross proceeds of $152.6 million. The Company received $138.5 million in net proceeds after deducting underwriting discounts and estimated offering expenses payable by the Company.</w:t>
      </w:r>
    </w:p>
    <w:p>
      <w:pPr>
        <w:spacing w:after="0" w:line="175" w:lineRule="exact"/>
        <w:rPr>
          <w:sz w:val="20"/>
          <w:szCs w:val="20"/>
          <w:color w:val="auto"/>
        </w:rPr>
      </w:pPr>
    </w:p>
    <w:p>
      <w:pPr>
        <w:ind w:right="80" w:firstLine="509"/>
        <w:spacing w:after="0" w:line="261" w:lineRule="auto"/>
        <w:rPr>
          <w:sz w:val="20"/>
          <w:szCs w:val="20"/>
          <w:color w:val="auto"/>
        </w:rPr>
      </w:pPr>
      <w:r>
        <w:rPr>
          <w:rFonts w:ascii="Arial" w:cs="Arial" w:eastAsia="Arial" w:hAnsi="Arial"/>
          <w:sz w:val="17"/>
          <w:szCs w:val="17"/>
          <w:color w:val="auto"/>
        </w:rPr>
        <w:t>The Company expects that its cash, cash equivalents and marketable securities as of September 30, 2022 of $116.6 million will be sufficient to fund its operations for at least the next twelve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right="80" w:firstLine="578"/>
        <w:spacing w:after="0" w:line="246" w:lineRule="auto"/>
        <w:rPr>
          <w:sz w:val="20"/>
          <w:szCs w:val="20"/>
          <w:color w:val="auto"/>
        </w:rPr>
      </w:pPr>
      <w:r>
        <w:rPr>
          <w:rFonts w:ascii="Arial" w:cs="Arial" w:eastAsia="Arial" w:hAnsi="Arial"/>
          <w:sz w:val="18"/>
          <w:szCs w:val="18"/>
          <w:color w:val="auto"/>
        </w:rPr>
        <w:t>On January 29, 2021, the Company effected a reverse stock split of the Company’s common stock on a 48-for-1 basis (the “Reverse Stock Split”). In connection with the Reverse Stock Split, the conversion ratio for the Company’s Series AA and Series BB convertible preferred stock was proportionately adjusted such that the common stock issuable upon conversion of such preferred stock was decreased in proportion to the Reverse Stock Split. Accordingly, all common stock share and per share amounts, as well as all preferred stock conversion ratios, for all periods presented in these financial statements have been retroactively adjusted, to reflect this reverse stock split and adjustment of the Series AA and BB convertible preferred stock conversion ratios.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04"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The Company has prepared the accompanying condensed consolidated financial statements in conformity with generally accepted accounting principles in the United States (“US GAAP”). The condensed consolidated financial statements include those accounts of the Company and its subsidiaries after elimination of all intercompany accounts and transactions.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04" w:lineRule="exact"/>
        <w:rPr>
          <w:sz w:val="20"/>
          <w:szCs w:val="20"/>
          <w:color w:val="auto"/>
        </w:rPr>
      </w:pPr>
    </w:p>
    <w:p>
      <w:pPr>
        <w:ind w:right="80" w:firstLine="509"/>
        <w:spacing w:after="0" w:line="283" w:lineRule="auto"/>
        <w:rPr>
          <w:sz w:val="20"/>
          <w:szCs w:val="20"/>
          <w:color w:val="auto"/>
        </w:rPr>
      </w:pPr>
      <w:r>
        <w:rPr>
          <w:rFonts w:ascii="Arial" w:cs="Arial" w:eastAsia="Arial" w:hAnsi="Arial"/>
          <w:sz w:val="16"/>
          <w:szCs w:val="16"/>
          <w:color w:val="auto"/>
        </w:rPr>
        <w:t>The condensed consolidated financial statements of the Company included herein have been prepared pursuant to the rules and regulations of the Securities and Exchange Commission (“SEC”). Certain information and note disclosures normally included in financial statements prepared in accordance with US GAAP have been condensed or omitted from these condensed consolidated financial statements, as is permitted by such rules and regulations. Accordingly, these condensed consolidated financial statements should be read in conjunction with the financial statements and notes thereto included in the Company’s Annual Report on Form 10-K. The results for any interim period are not necessarily indicative of results for any future period.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presented. Estimates are used for, but are not limited to, depreciation of equipment, the Company’s enterprise value, fair value of financial instruments, the Company’s ability to continue as a going concern and contingencies. Actual results may differ from those estimates.</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jc w:val="both"/>
        <w:ind w:right="140" w:firstLine="509"/>
        <w:spacing w:after="0" w:line="256" w:lineRule="auto"/>
        <w:rPr>
          <w:sz w:val="20"/>
          <w:szCs w:val="20"/>
          <w:color w:val="auto"/>
        </w:rPr>
      </w:pPr>
      <w:r>
        <w:rPr>
          <w:rFonts w:ascii="Arial" w:cs="Arial" w:eastAsia="Arial" w:hAnsi="Arial"/>
          <w:sz w:val="18"/>
          <w:szCs w:val="18"/>
          <w:color w:val="auto"/>
        </w:rPr>
        <w:t>Cash equivalents are highly liquid investments with an original maturity of 90 days or less at the date of purchase and consist of time deposits and investments in money market funds with commercial banks and financial institutions. At September 30, 2022, cash and cash equivalents included cash on deposit at commercial banks and a money market fund that invests in U.S. Government securities.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Investments consist of marketable securities with original maturities greater than 90 days.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(level 2). Unrealized gains and losses are reported as accumulated other comprehensive loss in stockholders’ equity. Amortization and accretion of premiums and discounts are recorded in other income (expense). Realized gains or losses on debt securities are included in interest income or interest expense, respectively. If any adjustment to fair value reflects a decline in value of the investment, the Company considers all available evidence to evaluate the extent to which the decline is other than temporary and, if so, marks the investment to market on the Company’s statement of operations and comprehensive loss.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7"/>
          <w:szCs w:val="17"/>
          <w:color w:val="auto"/>
        </w:rPr>
        <w:t>Prior to January 1, 2022, the Company accounted for leases in accordance with ASC 840, Leases (“ASC 840”). At lease inception, the Company determined if an arrangement was an operating or capital lease. For operating leases, the Company recognized rent expense, inclusive of rent escalations, holidays and lease incentives, on a straight-line basis over the lease term. The difference between rent expense recorded and the amount paid was charged to deferred rent. The Company presented lease incentives as deferred rent and amortized the incentives as a reduction to rent expense on a straight-line basis over the lease term. The Company classified deferred rent as current and noncurrent liabilities based on the portion of the deferred rent that was scheduled to mature within the proceeding twelve months.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Effective January 1, 2022, the Company accounts for leases in accordance with Accounting Standards Update (“ASU”) No. 2016-02, Leases (Topic</w:t>
      </w:r>
    </w:p>
    <w:p>
      <w:pPr>
        <w:spacing w:after="0" w:line="35" w:lineRule="exact"/>
        <w:rPr>
          <w:sz w:val="20"/>
          <w:szCs w:val="20"/>
          <w:color w:val="auto"/>
        </w:rPr>
      </w:pPr>
    </w:p>
    <w:p>
      <w:pPr>
        <w:ind w:right="100" w:firstLine="8"/>
        <w:spacing w:after="0"/>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(“ASC 842”). At contract inception, the Company determines if an arrangement is or contains a lease. A lease conveys the right to control the use of an identified asset for a period of time in exchange for consideration. If determined to be or contain a lease, the lease is assessed for classification as either an operating or finance lease at the lease commencement date, defined as the date on which the leased asset is made available for use by the Company, based on the economic characteristics of the lease. For each lease with a term greater than twelve months, the Company records a right-of-use asset and lease liability.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8" w:name="page9"/>
    <w:bookmarkEnd w:id="8"/>
    <w:p>
      <w:pPr>
        <w:ind w:right="40" w:firstLine="509"/>
        <w:spacing w:after="0" w:line="276" w:lineRule="auto"/>
        <w:rPr>
          <w:sz w:val="20"/>
          <w:szCs w:val="20"/>
          <w:color w:val="auto"/>
        </w:rPr>
      </w:pPr>
      <w:r>
        <w:rPr>
          <w:rFonts w:ascii="Arial" w:cs="Arial" w:eastAsia="Arial" w:hAnsi="Arial"/>
          <w:sz w:val="16"/>
          <w:szCs w:val="16"/>
          <w:color w:val="auto"/>
        </w:rPr>
        <w:t>A right-of-use asset represents the economic benefit conveyed to the Company by the right to use the underlying asset over the lease term. A lease liability represents the obligation to make lease payments arising from the lease. The Company elected the practical expedient to not separate lease and non-lease components for all classes of underlying assets and therefore measures each lease payment as the total of the fixed lease and associated non-lease components. Lease liabilities are measured at lease commencement and calculated as the present value of the future lease payments in the contract using the rate implicit in the contract, when available. If an implicit rate is not readily determinable, the Company uses an incremental borrowing rate measured as the rate at which the Company could borrow, on a fully collateralized basis, a commensurate loan in the same currency over a period consistent with the lease term at the commencement date. Right-of-use assets are measured as the lease liability plus initial direct costs and prepaid lease payments, less lease incentives granted by the lessor. The lease term is measured as the noncancelable period in the contract, adjusted for any options to extend or terminate when it is reasonably certain the Company will extend the lease term via such options based on an assessment of economic factors present as of the lease commencement date. The Company elected the practical expedient to not recognize leases with a lease term of twelve months or less.</w:t>
      </w:r>
    </w:p>
    <w:p>
      <w:pPr>
        <w:spacing w:after="0" w:line="58"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Company has elected to account for lease and non-lease components together as a single lease component for all underlying assets and allocate all of the contract consideration to the lease component only.</w:t>
      </w:r>
    </w:p>
    <w:p>
      <w:pPr>
        <w:spacing w:after="0" w:line="72"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The Company’s operating and finance leases are presented in the consolidated balance sheet as lease right-of-use assets net of accumulated amortization, classified as noncurrent assets, and lease liabilities, classified as current and noncurrent liabilities. Operating and finance lease expense is recognized on a straight-line basis over the lease term. Variable costs associated with a lease, such as maintenance and utilities, are not included in the measurement of the lease liabilities and right-of-use assets but rather are expensed when the events determining the amount of variable consideration to be paid have occurred.</w:t>
      </w:r>
    </w:p>
    <w:p>
      <w:pPr>
        <w:spacing w:after="0" w:line="78"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ASC 842 provides several optional practical expedients in transition. The Company applied the ‘package of practical expedients’ which allow the Company to not reassess whether existing or expired arrangements contain a lease, the lease classification of existing or expired leases, or whether previous initial direct costs would qualify for capitalization under ASC 842.</w:t>
      </w:r>
    </w:p>
    <w:p>
      <w:pPr>
        <w:spacing w:after="0" w:line="67" w:lineRule="exact"/>
        <w:rPr>
          <w:sz w:val="20"/>
          <w:szCs w:val="20"/>
          <w:color w:val="auto"/>
        </w:rPr>
      </w:pPr>
    </w:p>
    <w:p>
      <w:pPr>
        <w:ind w:right="180" w:firstLine="509"/>
        <w:spacing w:after="0" w:line="290" w:lineRule="auto"/>
        <w:rPr>
          <w:sz w:val="20"/>
          <w:szCs w:val="20"/>
          <w:color w:val="auto"/>
        </w:rPr>
      </w:pPr>
      <w:r>
        <w:rPr>
          <w:rFonts w:ascii="Arial" w:cs="Arial" w:eastAsia="Arial" w:hAnsi="Arial"/>
          <w:sz w:val="16"/>
          <w:szCs w:val="16"/>
          <w:color w:val="auto"/>
        </w:rPr>
        <w:t>The adoption of ASC 842 resulted in the recognition of operating lease liabilities of $6.7 million and operating right-of-use assets of $6.6 million, along with the write-off of certain deferred rent balances of $0.1 million within the Company’s condensed consolidated balance sheets as of January 1, 2022. Leases previously reported as capital leases are now referred to as finance leases. The adoption did not have a significant impact on the Company’s condensed consolidated statements of operations and comprehensive loss and condensed consolidated statements of cash flows.</w:t>
      </w:r>
    </w:p>
    <w:p>
      <w:pPr>
        <w:spacing w:after="0" w:line="2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Standards Updates</w:t>
      </w:r>
    </w:p>
    <w:p>
      <w:pPr>
        <w:spacing w:after="0" w:line="225"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was subsequently amended in November 2018 through ASU No. 2018-19, “Codification Improvements to Topic 326, Financial Instruments—Credit Losses.” ASU No. 2016-13 will require entities to estimate lifetime expected credit losses for trade and other receivables, net investments in leases, financing receivables, debt securities and other instruments, which will result in earlier recognition of credit losses. Further, the new credit loss model will affect how entities in all industries estimate their allowance for losses for receivables that are current with respect to their payment terms. As per the latest ASU 2020-02, FASB deferred the timelines for certain small public and private entities, thus the new guidance will be adopted by the Company for the annual reporting period beginning January 1, 2023, including interim periods within that annual reporting period. The standard will apply as a cumulative-effect adjustment to retained earnings as of the beginning of the first reporting period in which the guidance is adopted. The Company does not expect adoption of this new guidance to have a material impact on its results of operations, financial condition, and financial statement disclosures.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Marketable securities consist of the following as of September 30, 2022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Amortized</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8"/>
              </w:rPr>
              <w:t>Unrealized</w:t>
            </w:r>
          </w:p>
        </w:tc>
        <w:tc>
          <w:tcPr>
            <w:tcW w:w="140" w:type="dxa"/>
            <w:vAlign w:val="bottom"/>
          </w:tcPr>
          <w:p>
            <w:pPr>
              <w:spacing w:after="0"/>
              <w:rPr>
                <w:sz w:val="18"/>
                <w:szCs w:val="18"/>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w w:val="95"/>
              </w:rPr>
              <w:t>Unrealized Gains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0"/>
              </w:rPr>
              <w:t>Losses</w:t>
            </w:r>
          </w:p>
        </w:tc>
        <w:tc>
          <w:tcPr>
            <w:tcW w:w="14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2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34,700</w:t>
            </w:r>
          </w:p>
        </w:tc>
        <w:tc>
          <w:tcPr>
            <w:tcW w:w="24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ind w:right="12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64,613</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(713 )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agencies</w:t>
            </w:r>
          </w:p>
        </w:tc>
        <w:tc>
          <w:tcPr>
            <w:tcW w:w="2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(448 )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106,313</w:t>
            </w:r>
          </w:p>
        </w:tc>
        <w:tc>
          <w:tcPr>
            <w:tcW w:w="240" w:type="dxa"/>
            <w:vAlign w:val="bottom"/>
          </w:tcPr>
          <w:p>
            <w:pPr>
              <w:spacing w:after="0"/>
              <w:rPr>
                <w:sz w:val="18"/>
                <w:szCs w:val="18"/>
                <w:color w:val="auto"/>
              </w:rPr>
            </w:pP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(1,205 )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105,108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2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7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6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-642620</wp:posOffset>
            </wp:positionV>
            <wp:extent cx="7747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-642620</wp:posOffset>
            </wp:positionV>
            <wp:extent cx="685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-642620</wp:posOffset>
            </wp:positionV>
            <wp:extent cx="685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 w:name="page10"/>
    <w:bookmarkEnd w:id="9"/>
    <w:p>
      <w:pPr>
        <w:ind w:right="540" w:firstLine="509"/>
        <w:spacing w:after="0" w:line="291" w:lineRule="auto"/>
        <w:rPr>
          <w:sz w:val="20"/>
          <w:szCs w:val="20"/>
          <w:color w:val="auto"/>
        </w:rPr>
      </w:pPr>
      <w:r>
        <w:rPr>
          <w:rFonts w:ascii="Arial" w:cs="Arial" w:eastAsia="Arial" w:hAnsi="Arial"/>
          <w:sz w:val="17"/>
          <w:szCs w:val="17"/>
          <w:color w:val="auto"/>
        </w:rPr>
        <w:t>As of September 30, 2022, all marketable securities held by the Company had remaining contractual maturities of one year or less, except for corporate bonds and U.S. government agencies securities with a fair value of $51.0 million that had maturities of one to three years.</w:t>
      </w:r>
    </w:p>
    <w:p>
      <w:pPr>
        <w:spacing w:after="0" w:line="5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As of September 30, 2022, $0.2 million and $1.0 million of unrealized losses were associated with marketable securities with contractual maturities of one year or less and more than one year, respectively.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were no impairments of the Company’s assets measured and carried at fair value during the nine months ended September 30, 2022.</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375"/>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equipment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2,893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4,974</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Office equipment and furniture</w:t>
            </w:r>
          </w:p>
        </w:tc>
        <w:tc>
          <w:tcPr>
            <w:tcW w:w="2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606</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w:t>
            </w: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253</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253</w:t>
            </w:r>
          </w:p>
        </w:tc>
      </w:tr>
      <w:tr>
        <w:trPr>
          <w:trHeight w:val="209"/>
        </w:trPr>
        <w:tc>
          <w:tcPr>
            <w:tcW w:w="7700" w:type="dxa"/>
            <w:vAlign w:val="bottom"/>
          </w:tcPr>
          <w:p>
            <w:pPr>
              <w:ind w:left="200"/>
              <w:spacing w:after="0"/>
              <w:rPr>
                <w:sz w:val="20"/>
                <w:szCs w:val="20"/>
                <w:color w:val="auto"/>
              </w:rPr>
            </w:pPr>
            <w:r>
              <w:rPr>
                <w:rFonts w:ascii="Arial" w:cs="Arial" w:eastAsia="Arial" w:hAnsi="Arial"/>
                <w:sz w:val="18"/>
                <w:szCs w:val="18"/>
                <w:color w:val="auto"/>
              </w:rPr>
              <w:t>Total property and equipment</w:t>
            </w:r>
          </w:p>
        </w:tc>
        <w:tc>
          <w:tcPr>
            <w:tcW w:w="24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3,682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5,833</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(1,471 )</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(1,189 )</w:t>
            </w: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2,211</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4,644</w:t>
            </w:r>
          </w:p>
        </w:tc>
      </w:tr>
      <w:tr>
        <w:trPr>
          <w:trHeight w:val="20"/>
        </w:trPr>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-454025</wp:posOffset>
            </wp:positionV>
            <wp:extent cx="10287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0287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182" w:lineRule="exact"/>
        <w:rPr>
          <w:sz w:val="20"/>
          <w:szCs w:val="20"/>
          <w:color w:val="auto"/>
        </w:rPr>
      </w:pPr>
    </w:p>
    <w:p>
      <w:pPr>
        <w:ind w:right="860" w:firstLine="509"/>
        <w:spacing w:after="0" w:line="324" w:lineRule="auto"/>
        <w:rPr>
          <w:sz w:val="20"/>
          <w:szCs w:val="20"/>
          <w:color w:val="auto"/>
        </w:rPr>
      </w:pPr>
      <w:r>
        <w:rPr>
          <w:rFonts w:ascii="Arial" w:cs="Arial" w:eastAsia="Arial" w:hAnsi="Arial"/>
          <w:sz w:val="16"/>
          <w:szCs w:val="16"/>
          <w:color w:val="auto"/>
        </w:rPr>
        <w:t>Depreciation and amortization expense for the three months ended September 30, 2022 and 2021 was $151 thousand and $136 thousand, respectively, and for the nine months ended September 30, 2022 and 2021 was $452 thousand and $356 thousand, respectively.</w:t>
      </w:r>
    </w:p>
    <w:p>
      <w:pPr>
        <w:spacing w:after="0" w:line="16"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Effective January 1, 2022, the Company adopted ASC 842 and reclassed capital leases that were previously classified as property and equipment, net were presented separately under right of use assets - financing leases, net on the Company's condensed consolidated balance sheet. $2.2 million relates to items previously classified under research equipment and $70 thousand relates to items previously classified under office equipment and furniture on the table above. These leases are further described in Note 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16"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In May 2020, the Company received $567 thousand in loan funding from the Paycheck Protection Program (“PPP”) pursuant to the Coronavirus Aid, Relief, and Economic Security Act, as amended by the Flexibility Act, and administered by the Small Business Administration. The unsecured loan (the “PPP Loan”) is with Silicon Valley Bank.</w:t>
      </w:r>
    </w:p>
    <w:p>
      <w:pPr>
        <w:spacing w:after="0" w:line="87"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Under the terms of the PPP Loan, interest accrued on the outstanding principal at a rate of 1.0% per annum. On August 6, 2021, the Small Business Administration approved the forgiveness for the full amount of the PPP Loan, which included principal of $567 thousand, plus interest. The Company recognized a gain on debt extinguishment once forgiven in other income (expense) on the Consolidated Statement of Operations and Comprehensive Loss for the year ended December 31, 2021.</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60" w:type="dxa"/>
            <w:vAlign w:val="bottom"/>
            <w:gridSpan w:val="9"/>
          </w:tcPr>
          <w:p>
            <w:pPr>
              <w:jc w:val="right"/>
              <w:ind w:right="40"/>
              <w:spacing w:after="0"/>
              <w:rPr>
                <w:sz w:val="20"/>
                <w:szCs w:val="20"/>
                <w:color w:val="auto"/>
              </w:rPr>
            </w:pPr>
            <w:r>
              <w:rPr>
                <w:rFonts w:ascii="Arial" w:cs="Arial" w:eastAsia="Arial" w:hAnsi="Arial"/>
                <w:sz w:val="18"/>
                <w:szCs w:val="18"/>
                <w:b w:val="1"/>
                <w:bCs w:val="1"/>
                <w:color w:val="auto"/>
              </w:rPr>
              <w:t>Fair value measurements at September 30, 2022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Money market funds</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7,066</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Commercial paper</w:t>
            </w:r>
          </w:p>
        </w:tc>
        <w:tc>
          <w:tcPr>
            <w:tcW w:w="1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U.S. Government agencies</w:t>
            </w:r>
          </w:p>
        </w:tc>
        <w:tc>
          <w:tcPr>
            <w:tcW w:w="1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7,066</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105,108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96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8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84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-642620</wp:posOffset>
            </wp:positionV>
            <wp:extent cx="7747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-642620</wp:posOffset>
            </wp:positionV>
            <wp:extent cx="6858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-642620</wp:posOffset>
            </wp:positionV>
            <wp:extent cx="6858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 w:name="page11"/>
    <w:bookmarkEnd w:id="10"/>
    <w:p>
      <w:pPr>
        <w:ind w:right="40" w:firstLine="509"/>
        <w:spacing w:after="0" w:line="263" w:lineRule="auto"/>
        <w:rPr>
          <w:sz w:val="20"/>
          <w:szCs w:val="20"/>
          <w:color w:val="auto"/>
        </w:rPr>
      </w:pPr>
      <w:r>
        <w:rPr>
          <w:rFonts w:ascii="Arial" w:cs="Arial" w:eastAsia="Arial" w:hAnsi="Arial"/>
          <w:sz w:val="17"/>
          <w:szCs w:val="17"/>
          <w:color w:val="auto"/>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assumptions market participants would use to estimate the fair value of a financial instrument.</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among Level 1, Level 2 or Level 3 categories in the nine months ended September 30, 2022 and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4" w:lineRule="exact"/>
        <w:rPr>
          <w:sz w:val="20"/>
          <w:szCs w:val="20"/>
          <w:color w:val="auto"/>
        </w:rPr>
      </w:pPr>
    </w:p>
    <w:p>
      <w:pPr>
        <w:ind w:right="200" w:firstLine="509"/>
        <w:spacing w:after="0" w:line="278" w:lineRule="auto"/>
        <w:rPr>
          <w:sz w:val="20"/>
          <w:szCs w:val="20"/>
          <w:color w:val="auto"/>
        </w:rPr>
      </w:pPr>
      <w:r>
        <w:rPr>
          <w:rFonts w:ascii="Arial" w:cs="Arial" w:eastAsia="Arial" w:hAnsi="Arial"/>
          <w:sz w:val="17"/>
          <w:szCs w:val="17"/>
          <w:color w:val="auto"/>
        </w:rPr>
        <w:t>As of September 30, 2022, the Company leases office and laboratory facilities under operating leases, which expire at various dates through 2027. The Company has $678 thousand in letters of credit outstanding as security on certain of these leases. As part of its adoption of ASC 842, the Company recorded operating right-of-use assets and operating lease liabilities for these leases as of January 1, 2022.</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Finance Leases</w:t>
      </w:r>
    </w:p>
    <w:p>
      <w:pPr>
        <w:spacing w:after="0" w:line="104"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 leases research equipment and furniture under finance leases. As part of its adoption of ASC 842, the Company recorded financing right-of-use assets and financing lease liabilities for these leases as of January 1, 2022.</w:t>
      </w:r>
    </w:p>
    <w:p>
      <w:pPr>
        <w:spacing w:after="0" w:line="49"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On April 20, 2021, the Company entered into a finance lease agreement with a third-party company related to various research equipment and furniture, which included the Company selling specific equipment for $293 thousand, resulting in a gain on the sale of $20 thousand, and leasing it back for a four-year period. The associated lease facility includes up to $5 million for the purchase of equipment on an as needed basis. As of September 30, 2022, the Company had $2.6 million available for purchases under this arrangement. The Company has an option to purchase the equipment at fair market value, not to exceed 15% of the original equipment cost, or to renew the lease for an additional one- or two-year period at a mutually agreed upon rate.</w:t>
      </w:r>
    </w:p>
    <w:p>
      <w:pPr>
        <w:spacing w:after="0" w:line="63" w:lineRule="exact"/>
        <w:rPr>
          <w:sz w:val="20"/>
          <w:szCs w:val="20"/>
          <w:color w:val="auto"/>
        </w:rPr>
      </w:pPr>
    </w:p>
    <w:p>
      <w:pPr>
        <w:ind w:right="520" w:firstLine="509"/>
        <w:spacing w:after="0" w:line="324" w:lineRule="auto"/>
        <w:rPr>
          <w:sz w:val="20"/>
          <w:szCs w:val="20"/>
          <w:color w:val="auto"/>
        </w:rPr>
      </w:pPr>
      <w:r>
        <w:rPr>
          <w:rFonts w:ascii="Arial" w:cs="Arial" w:eastAsia="Arial" w:hAnsi="Arial"/>
          <w:sz w:val="16"/>
          <w:szCs w:val="16"/>
          <w:color w:val="auto"/>
        </w:rPr>
        <w:t>On September 27, 2021, the Company commenced a lease for various research equipment. The terms of the four-year lease specify a monthly payment of $13 thousand, with the option to purchase the equipment for fair market value, to be determined by the lessor, at the end of the lease.</w:t>
      </w:r>
    </w:p>
    <w:p>
      <w:pPr>
        <w:spacing w:after="0" w:line="16"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pertaining to the Company’s finance and operating leases for the nine months ended September 30, 2022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r>
      <w:tr>
        <w:trPr>
          <w:trHeight w:val="169"/>
        </w:trPr>
        <w:tc>
          <w:tcPr>
            <w:tcW w:w="8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jc w:val="right"/>
              <w:ind w:right="11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1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Cost: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Amortization of finance right-of-use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Interest on finance lease liabilities</w:t>
            </w:r>
          </w:p>
        </w:tc>
        <w:tc>
          <w:tcPr>
            <w:tcW w:w="200" w:type="dxa"/>
            <w:vAlign w:val="bottom"/>
            <w:shd w:val="clear" w:color="auto" w:fill="CFF0FC"/>
          </w:tcPr>
          <w:p>
            <w:pPr>
              <w:spacing w:after="0"/>
              <w:rPr>
                <w:sz w:val="18"/>
                <w:szCs w:val="18"/>
                <w:color w:val="auto"/>
              </w:rPr>
            </w:pP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8"/>
                <w:szCs w:val="18"/>
                <w:color w:val="auto"/>
              </w:rPr>
            </w:pPr>
          </w:p>
        </w:tc>
      </w:tr>
      <w:tr>
        <w:trPr>
          <w:trHeight w:val="216"/>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Operating lease cost</w:t>
            </w:r>
          </w:p>
        </w:tc>
        <w:tc>
          <w:tcPr>
            <w:tcW w:w="20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r>
      <w:tr>
        <w:trPr>
          <w:trHeight w:val="216"/>
        </w:trPr>
        <w:tc>
          <w:tcPr>
            <w:tcW w:w="84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Variable lease cost</w:t>
            </w:r>
          </w:p>
        </w:tc>
        <w:tc>
          <w:tcPr>
            <w:tcW w:w="200" w:type="dxa"/>
            <w:vAlign w:val="bottom"/>
            <w:tcBorders>
              <w:bottom w:val="single" w:sz="8" w:color="auto"/>
            </w:tcBorders>
            <w:shd w:val="clear" w:color="auto" w:fill="CFF0FC"/>
          </w:tcPr>
          <w:p>
            <w:pPr>
              <w:spacing w:after="0"/>
              <w:rPr>
                <w:sz w:val="18"/>
                <w:szCs w:val="18"/>
                <w:color w:val="auto"/>
              </w:rPr>
            </w:pPr>
          </w:p>
        </w:tc>
        <w:tc>
          <w:tcPr>
            <w:tcW w:w="2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lease costs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contains a summary of other information pertaining to the Company’s finance and operating leases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(in thousands, except lease term and discount rate):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jc w:val="right"/>
              <w:ind w:right="11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Operating Lease Information:</w:t>
            </w:r>
          </w:p>
        </w:tc>
        <w:tc>
          <w:tcPr>
            <w:tcW w:w="3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Operating cash flows for operating leases</w:t>
            </w:r>
          </w:p>
        </w:tc>
        <w:tc>
          <w:tcPr>
            <w:tcW w:w="4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cash flows for finance leases</w:t>
            </w:r>
          </w:p>
        </w:tc>
        <w:tc>
          <w:tcPr>
            <w:tcW w:w="42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4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18"/>
                <w:szCs w:val="18"/>
                <w:color w:val="auto"/>
              </w:rPr>
            </w:pPr>
          </w:p>
        </w:tc>
        <w:tc>
          <w:tcPr>
            <w:tcW w:w="3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Weighted average remaining lease term</w:t>
            </w: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leases</w:t>
            </w:r>
          </w:p>
        </w:tc>
        <w:tc>
          <w:tcPr>
            <w:tcW w:w="3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 years</w:t>
            </w:r>
          </w:p>
        </w:tc>
        <w:tc>
          <w:tcPr>
            <w:tcW w:w="100" w:type="dxa"/>
            <w:vAlign w:val="bottom"/>
            <w:shd w:val="clear" w:color="auto" w:fill="CFF0FC"/>
          </w:tcPr>
          <w:p>
            <w:pPr>
              <w:spacing w:after="0"/>
              <w:rPr>
                <w:sz w:val="18"/>
                <w:szCs w:val="18"/>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18"/>
                <w:szCs w:val="18"/>
                <w:color w:val="auto"/>
              </w:rPr>
              <w:t>Financing leases</w:t>
            </w: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3.5 years</w:t>
            </w:r>
          </w:p>
        </w:tc>
        <w:tc>
          <w:tcPr>
            <w:tcW w:w="100" w:type="dxa"/>
            <w:vAlign w:val="bottom"/>
          </w:tcPr>
          <w:p>
            <w:pPr>
              <w:spacing w:after="0"/>
              <w:rPr>
                <w:sz w:val="20"/>
                <w:szCs w:val="20"/>
                <w:color w:val="auto"/>
              </w:rPr>
            </w:pPr>
          </w:p>
        </w:tc>
      </w:tr>
      <w:tr>
        <w:trPr>
          <w:trHeight w:val="202"/>
        </w:trPr>
        <w:tc>
          <w:tcPr>
            <w:tcW w:w="43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Weighted average discount rate</w:t>
            </w:r>
          </w:p>
        </w:tc>
        <w:tc>
          <w:tcPr>
            <w:tcW w:w="3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Financing leases</w:t>
            </w:r>
          </w:p>
        </w:tc>
        <w:tc>
          <w:tcPr>
            <w:tcW w:w="3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8"/>
                <w:szCs w:val="18"/>
                <w:color w:val="auto"/>
              </w:rPr>
            </w:pPr>
          </w:p>
        </w:tc>
      </w:tr>
      <w:tr>
        <w:trPr>
          <w:trHeight w:val="648"/>
        </w:trPr>
        <w:tc>
          <w:tcPr>
            <w:tcW w:w="4380" w:type="dxa"/>
            <w:vAlign w:val="bottom"/>
          </w:tcPr>
          <w:p>
            <w:pPr>
              <w:spacing w:after="0"/>
              <w:rPr>
                <w:sz w:val="24"/>
                <w:szCs w:val="24"/>
                <w:color w:val="auto"/>
              </w:rPr>
            </w:pPr>
          </w:p>
        </w:tc>
        <w:tc>
          <w:tcPr>
            <w:tcW w:w="3860" w:type="dxa"/>
            <w:vAlign w:val="bottom"/>
          </w:tcPr>
          <w:p>
            <w:pPr>
              <w:jc w:val="right"/>
              <w:ind w:right="249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380" w:type="dxa"/>
            <w:vAlign w:val="bottom"/>
            <w:tcBorders>
              <w:bottom w:val="single" w:sz="8" w:color="9A9A9A"/>
            </w:tcBorders>
          </w:tcPr>
          <w:p>
            <w:pPr>
              <w:spacing w:after="0"/>
              <w:rPr>
                <w:sz w:val="7"/>
                <w:szCs w:val="7"/>
                <w:color w:val="auto"/>
              </w:rPr>
            </w:pPr>
          </w:p>
        </w:tc>
        <w:tc>
          <w:tcPr>
            <w:tcW w:w="38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 w:name="page12"/>
    <w:bookmarkEnd w:id="11"/>
    <w:p>
      <w:pPr>
        <w:ind w:right="700" w:firstLine="509"/>
        <w:spacing w:after="0" w:line="277" w:lineRule="auto"/>
        <w:rPr>
          <w:sz w:val="20"/>
          <w:szCs w:val="20"/>
          <w:color w:val="auto"/>
        </w:rPr>
      </w:pPr>
      <w:r>
        <w:rPr>
          <w:rFonts w:ascii="Arial" w:cs="Arial" w:eastAsia="Arial" w:hAnsi="Arial"/>
          <w:sz w:val="18"/>
          <w:szCs w:val="18"/>
          <w:color w:val="auto"/>
        </w:rPr>
        <w:t>The following table presents supplemental balance sheet information related to operating and financing leases as of September 30, 2022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14"/>
                <w:szCs w:val="14"/>
                <w:color w:val="auto"/>
              </w:rPr>
            </w:pPr>
          </w:p>
        </w:tc>
      </w:tr>
      <w:tr>
        <w:trPr>
          <w:trHeight w:val="185"/>
        </w:trPr>
        <w:tc>
          <w:tcPr>
            <w:tcW w:w="9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0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40" w:type="dxa"/>
            <w:vAlign w:val="bottom"/>
          </w:tcPr>
          <w:p>
            <w:pPr>
              <w:ind w:left="160"/>
              <w:spacing w:after="0"/>
              <w:rPr>
                <w:sz w:val="20"/>
                <w:szCs w:val="20"/>
                <w:color w:val="auto"/>
              </w:rPr>
            </w:pPr>
            <w:r>
              <w:rPr>
                <w:rFonts w:ascii="Arial" w:cs="Arial" w:eastAsia="Arial" w:hAnsi="Arial"/>
                <w:sz w:val="18"/>
                <w:szCs w:val="18"/>
                <w:color w:val="auto"/>
              </w:rPr>
              <w:t>Right-of-use assets,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18"/>
                <w:szCs w:val="18"/>
                <w:color w:val="auto"/>
              </w:rPr>
            </w:pPr>
          </w:p>
        </w:tc>
      </w:tr>
      <w:tr>
        <w:trPr>
          <w:trHeight w:val="20"/>
        </w:trPr>
        <w:tc>
          <w:tcPr>
            <w:tcW w:w="9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640" w:type="dxa"/>
            <w:vAlign w:val="bottom"/>
          </w:tcPr>
          <w:p>
            <w:pPr>
              <w:ind w:left="160"/>
              <w:spacing w:after="0"/>
              <w:rPr>
                <w:sz w:val="20"/>
                <w:szCs w:val="20"/>
                <w:color w:val="auto"/>
              </w:rPr>
            </w:pPr>
            <w:r>
              <w:rPr>
                <w:rFonts w:ascii="Arial" w:cs="Arial" w:eastAsia="Arial" w:hAnsi="Arial"/>
                <w:sz w:val="18"/>
                <w:szCs w:val="18"/>
                <w:color w:val="auto"/>
              </w:rPr>
              <w:t>Right-of-use lease liabilities, current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8"/>
                <w:szCs w:val="18"/>
                <w:color w:val="auto"/>
              </w:rPr>
            </w:pPr>
          </w:p>
        </w:tc>
      </w:tr>
      <w:tr>
        <w:trPr>
          <w:trHeight w:val="216"/>
        </w:trPr>
        <w:tc>
          <w:tcPr>
            <w:tcW w:w="9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Right-of-use lease liabilities, noncurrent</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8"/>
                <w:szCs w:val="18"/>
                <w:color w:val="auto"/>
              </w:rPr>
            </w:pPr>
          </w:p>
        </w:tc>
      </w:tr>
      <w:tr>
        <w:trPr>
          <w:trHeight w:val="20"/>
        </w:trPr>
        <w:tc>
          <w:tcPr>
            <w:tcW w:w="9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640" w:type="dxa"/>
            <w:vAlign w:val="bottom"/>
          </w:tcPr>
          <w:p>
            <w:pPr>
              <w:ind w:left="20"/>
              <w:spacing w:after="0"/>
              <w:rPr>
                <w:sz w:val="20"/>
                <w:szCs w:val="20"/>
                <w:color w:val="auto"/>
              </w:rPr>
            </w:pPr>
            <w:r>
              <w:rPr>
                <w:rFonts w:ascii="Arial" w:cs="Arial" w:eastAsia="Arial" w:hAnsi="Arial"/>
                <w:sz w:val="18"/>
                <w:szCs w:val="18"/>
                <w:color w:val="auto"/>
              </w:rPr>
              <w:t>Financing leases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9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Right-of-use assets,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9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Right-of-use lease liabilities, current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FF0FC"/>
          </w:tcPr>
          <w:p>
            <w:pPr>
              <w:spacing w:after="0"/>
              <w:rPr>
                <w:sz w:val="18"/>
                <w:szCs w:val="18"/>
                <w:color w:val="auto"/>
              </w:rPr>
            </w:pPr>
          </w:p>
        </w:tc>
      </w:tr>
      <w:tr>
        <w:trPr>
          <w:trHeight w:val="216"/>
        </w:trPr>
        <w:tc>
          <w:tcPr>
            <w:tcW w:w="9640" w:type="dxa"/>
            <w:vAlign w:val="bottom"/>
          </w:tcPr>
          <w:p>
            <w:pPr>
              <w:ind w:left="160"/>
              <w:spacing w:after="0"/>
              <w:rPr>
                <w:sz w:val="20"/>
                <w:szCs w:val="20"/>
                <w:color w:val="auto"/>
              </w:rPr>
            </w:pPr>
            <w:r>
              <w:rPr>
                <w:rFonts w:ascii="Arial" w:cs="Arial" w:eastAsia="Arial" w:hAnsi="Arial"/>
                <w:sz w:val="18"/>
                <w:szCs w:val="18"/>
                <w:color w:val="auto"/>
              </w:rPr>
              <w:t>Right-of-use lease liabilities, noncurrent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8"/>
                <w:szCs w:val="18"/>
                <w:color w:val="auto"/>
              </w:rPr>
            </w:pPr>
          </w:p>
        </w:tc>
      </w:tr>
      <w:tr>
        <w:trPr>
          <w:trHeight w:val="250"/>
        </w:trPr>
        <w:tc>
          <w:tcPr>
            <w:tcW w:w="9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financing lease liabilities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presents the maturity of the Company’s operating and finance lease liabilities as of September 30, 2022 (in thousands):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2022</w:t>
            </w:r>
          </w:p>
        </w:tc>
        <w:tc>
          <w:tcPr>
            <w:tcW w:w="35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FF0FC"/>
          </w:tcPr>
          <w:p>
            <w:pPr>
              <w:spacing w:after="0"/>
              <w:rPr>
                <w:sz w:val="18"/>
                <w:szCs w:val="18"/>
                <w:color w:val="auto"/>
              </w:rPr>
            </w:pPr>
          </w:p>
        </w:tc>
        <w:tc>
          <w:tcPr>
            <w:tcW w:w="3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2023</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2025</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future minimum lease payments</w:t>
            </w:r>
          </w:p>
        </w:tc>
        <w:tc>
          <w:tcPr>
            <w:tcW w:w="35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6,820</w:t>
            </w:r>
          </w:p>
        </w:tc>
        <w:tc>
          <w:tcPr>
            <w:tcW w:w="360" w:type="dxa"/>
            <w:vAlign w:val="bottom"/>
            <w:gridSpan w:val="2"/>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3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35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36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9820" w:type="dxa"/>
            <w:vAlign w:val="bottom"/>
            <w:gridSpan w:val="5"/>
          </w:tcPr>
          <w:p>
            <w:pPr>
              <w:ind w:left="520"/>
              <w:spacing w:after="0"/>
              <w:rPr>
                <w:sz w:val="20"/>
                <w:szCs w:val="20"/>
                <w:color w:val="auto"/>
              </w:rPr>
            </w:pPr>
            <w:r>
              <w:rPr>
                <w:rFonts w:ascii="Arial" w:cs="Arial" w:eastAsia="Arial" w:hAnsi="Arial"/>
                <w:sz w:val="18"/>
                <w:szCs w:val="18"/>
                <w:color w:val="auto"/>
                <w:w w:val="90"/>
              </w:rPr>
              <w:t>The following table presents operating lease commitments as reflected under ASC 840 as of December 31, 2021 (in thousands):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3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2023</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2025</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2027</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obligations</w:t>
            </w:r>
          </w:p>
        </w:tc>
        <w:tc>
          <w:tcPr>
            <w:tcW w:w="35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9820" w:type="dxa"/>
            <w:vAlign w:val="bottom"/>
            <w:gridSpan w:val="5"/>
          </w:tcPr>
          <w:p>
            <w:pPr>
              <w:ind w:left="520"/>
              <w:spacing w:after="0"/>
              <w:rPr>
                <w:sz w:val="20"/>
                <w:szCs w:val="20"/>
                <w:color w:val="auto"/>
              </w:rPr>
            </w:pPr>
            <w:r>
              <w:rPr>
                <w:rFonts w:ascii="Arial" w:cs="Arial" w:eastAsia="Arial" w:hAnsi="Arial"/>
                <w:sz w:val="18"/>
                <w:szCs w:val="18"/>
                <w:color w:val="auto"/>
                <w:w w:val="92"/>
              </w:rPr>
              <w:t>The following table presents finance lease commitments as reflected under ASC 840 as of December 31, 2021 (in thousands):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3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2023</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2025</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5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Total capital lease obligations</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amount representing interest</w:t>
            </w:r>
          </w:p>
        </w:tc>
        <w:tc>
          <w:tcPr>
            <w:tcW w:w="3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10"/>
        </w:trPr>
        <w:tc>
          <w:tcPr>
            <w:tcW w:w="4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Present value of minimum capital lease obligations</w:t>
            </w:r>
          </w:p>
        </w:tc>
        <w:tc>
          <w:tcPr>
            <w:tcW w:w="350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500" w:type="dxa"/>
            <w:vAlign w:val="bottom"/>
            <w:vMerge w:val="restart"/>
          </w:tcPr>
          <w:p>
            <w:pPr>
              <w:jc w:val="right"/>
              <w:ind w:right="231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20" w:type="dxa"/>
            <w:vAlign w:val="bottom"/>
            <w:tcBorders>
              <w:bottom w:val="single" w:sz="8" w:color="9A9A9A"/>
            </w:tcBorders>
          </w:tcPr>
          <w:p>
            <w:pPr>
              <w:spacing w:after="0"/>
              <w:rPr>
                <w:sz w:val="7"/>
                <w:szCs w:val="7"/>
                <w:color w:val="auto"/>
              </w:rPr>
            </w:pPr>
          </w:p>
        </w:tc>
        <w:tc>
          <w:tcPr>
            <w:tcW w:w="35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-3573780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-3557270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-3557270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In the normal course of business, the Company enters into licensing agreements with various parties to obtain the right to make, use, and sell licensed products currently in development.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The Company records estimated losses from loss contingencies, such as a loss arising from a litigation, when it determines that it is probable a liability has been incurred and the amount of loss can be reasonably estimated. Litigation is subject to many factors that are difficult to predict so that there can be no assurance, in the event of a material unfavorable result in one or more claims, the Company will not incur material costs.</w:t>
      </w:r>
    </w:p>
    <w:p>
      <w:pPr>
        <w:spacing w:after="0" w:line="17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During 2017, the Company became actively involved in a matter pending in the Ontario (Canada) Superior Court of Justice which names, among multiple other defendants, the Company and two former officers of the Company. The claims pending in this matter allege breach of contract by the Company and seek declaratory and other relief, including monetary damages from the Company, and the individual defendants, including the Company’s former officers. The claims by such plaintiffs were originally made in a lawsuit filed in Ontario during October 2011, but was not pursued by such plaintiffs in any material manner until 2017. The Company believes that there is no merit to the claims alleged against the Company and its former officers, including no alleged breach of contract by the Company, and intends to vigorously defend against the claims pertaining to the Company and its former officers. At the present stage of the suit, management believes the outcome in this matter is not likely to have any material impact on the Company’s results, cash flows, or financial position.</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10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full impact of the COVID-19 pandemic continues to evolve as of the date of these financial statements. As such, it is uncertain as to the full magnitude that the pandemic will have on the Company’s financial condition, liquidity, and future results of operations. Management is actively monitoring the global situation on its financial condition, liquidity, operations, suppliers, industry, and workforce. Given the evolution of the COVID-19 pandemic and the global responses to curb its spread, the Company is not able to estimate the effects of the COVID-19 pandemic on its results of operations, financial condition, or liquidity. Although the Company cannot estimate the length or gravity of the impact of the COVID-19 pandemic at this time, if the pandemic continues, it may have a material adverse effect on the Company’s results of future operations, financial position, and liquidity during the remainder of 2022 and beyond.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BB Convertible Preferred Stock Issuance</w:t>
      </w:r>
    </w:p>
    <w:p>
      <w:pPr>
        <w:spacing w:after="0" w:line="225"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In January 2021, the Company issued and sold 113,275,902 shares of Series BB convertible preferred stock at $0.207383 per share in exchange for $23.5 million in gross proceeds.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In February 2021, the Company completed its IPO in which the Company issued and sold 8,030,295 shares of its common stock, including 1,030,243 shares pursuant to the partial exercise of the underwriters’ option to purchase additional shares, at a public offering price of $19.00 per share, for aggregate gross proceeds of $152.6 million. The Company received approximately $138.5 million in net proceeds after deducting underwriting discounts and estimated offering expenses payable by the Company.</w:t>
      </w:r>
    </w:p>
    <w:p>
      <w:pPr>
        <w:spacing w:after="0" w:line="181"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Upon closing of the IPO on February 8, 2021, all of the Company’s outstanding preferred stock converted into an aggregate of 19,034,069 shares of common stock.</w:t>
      </w:r>
    </w:p>
    <w:p>
      <w:pPr>
        <w:spacing w:after="0" w:line="76" w:lineRule="exact"/>
        <w:rPr>
          <w:sz w:val="20"/>
          <w:szCs w:val="20"/>
          <w:color w:val="auto"/>
        </w:rPr>
      </w:pPr>
    </w:p>
    <w:p>
      <w:pPr>
        <w:ind w:right="360" w:firstLine="509"/>
        <w:spacing w:after="0" w:line="290" w:lineRule="auto"/>
        <w:rPr>
          <w:sz w:val="20"/>
          <w:szCs w:val="20"/>
          <w:color w:val="auto"/>
        </w:rPr>
      </w:pPr>
      <w:r>
        <w:rPr>
          <w:rFonts w:ascii="Arial" w:cs="Arial" w:eastAsia="Arial" w:hAnsi="Arial"/>
          <w:sz w:val="16"/>
          <w:szCs w:val="16"/>
          <w:color w:val="auto"/>
        </w:rPr>
        <w:t>On February 8, 2021, in connection with the IPO, the Company filed an Amended and Restated Certificate of Incorporation (the “Amended Certificate”) with the Secretary of State of the State of Delaware. The Amended Certificate, among other things: (i) authorized 250,000,000 shares of common stock; (ii) eliminated all references to the previously existing series of preferred stock; and (iii) authorized 10,000,000 shares of undesignated preferred stock that may be issued from time to time by the Company’s board of directors in one or more series.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following is a summary of the common stock warrant activity for the nine months ended September 30, 2022 related to common stock warrants issued in conjunction with equity and debt fundraising events: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vMerge w:val="restart"/>
          </w:tcPr>
          <w:p>
            <w:pPr>
              <w:jc w:val="center"/>
              <w:ind w:right="362"/>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of Common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jc w:val="center"/>
              <w:ind w:right="362"/>
              <w:spacing w:after="0" w:line="153"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2"/>
              </w:rPr>
              <w:t>Value (in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412,262</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2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Expired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2022</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412,262</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660" w:type="dxa"/>
            <w:vAlign w:val="bottom"/>
            <w:tcBorders>
              <w:bottom w:val="single" w:sz="8" w:color="CFF0FC"/>
            </w:tcBorders>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-591185</wp:posOffset>
            </wp:positionV>
            <wp:extent cx="7747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-25400</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Company’s 2018 Stock Incentive Plan (the “2018 Plan”), provided for the Company to grant qualified incentive options, nonqualified options, stock grants and other stock-based awards to employees and non-employees to purchase the Company’s common stock. Upon the effectiveness of the 2021 Plan (as defined below), no further issuances will be made under the 2018 Plan.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Stock Option and Incentive Plan</w:t>
      </w:r>
    </w:p>
    <w:p>
      <w:pPr>
        <w:spacing w:after="0" w:line="104" w:lineRule="exact"/>
        <w:rPr>
          <w:sz w:val="20"/>
          <w:szCs w:val="20"/>
          <w:color w:val="auto"/>
        </w:rPr>
      </w:pPr>
    </w:p>
    <w:p>
      <w:pPr>
        <w:ind w:right="100" w:firstLine="509"/>
        <w:spacing w:after="0" w:line="278" w:lineRule="auto"/>
        <w:rPr>
          <w:sz w:val="20"/>
          <w:szCs w:val="20"/>
          <w:color w:val="auto"/>
        </w:rPr>
      </w:pPr>
      <w:r>
        <w:rPr>
          <w:rFonts w:ascii="Arial" w:cs="Arial" w:eastAsia="Arial" w:hAnsi="Arial"/>
          <w:sz w:val="16"/>
          <w:szCs w:val="16"/>
          <w:color w:val="auto"/>
        </w:rPr>
        <w:t>The 2021 Equity Incentive Plan (the “2021 Plan”) was approved by the board of directors on January 27, 2021, and the Company’s stockholders on January 28, 2021 and became effective on the execution of the underwriting agreement related to the initial public offering. The 2021 Plan, which superseded the Company’s previous equity incentive plan, provides for the grant of incentive stock options to employees, including employees of any parent or subsidiary corporations, and for the grant of nonstatutory stock options, stock appreciation rights, restricted stock awards, restricted stock unit awards, performance awards and other forms of stock awards to employees, directors, and consultants, including employees and consultants of the Company’s affiliates. The number of shares initially reserved for issuance under the 2021 Plan was 5,000,000, which began automatically increasing on January 1 of each calendar year, starting on January 1, 2022 through January 1, 2031, in an amount equal to 4.0% of the total number of shares of the Company’s capital stock outstanding on the last day of the calendar month before the date of each automatic increase, or a lesser number of shares determined by the board of directors. As of September 30, 2022, 2,393,332 shares remained available for issuance pursuant to the 2021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04"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The 2021 Employee Stock Purchase Plan (the “2021 ESPP”) was approved by the Company’s board of directors on January 27, 2021 and became effective on the execution of the underwriting agreement related to the initial public offering. A total of 333,333 shares of common stock were initially reserved for issuance under the 2021 ESPP, which will automatically increase on January 1 of each calendar year, beginning on January 1, 2022 through January 1, 2031, by an amount equal to 1.0% of the total shares of common stock outstanding on December 31st of the preceding calendar year. The purchase price of the shares under the 2021 ESPP are at 85% of the lower of the fair market value of the Company’s common stock on the first trading day of the offering period or on the purchase date. As of September 30, 2022, the Company had issued 49,178 shares under the 2021 ESPP. As of September 30, 2022, 590,245 shares were available to be issued under the 2021 ESPP. The Company recognized $9 thousand share-based compensation expense related to the ESPP for the nine months ended September 30, 2022.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jc w:val="both"/>
        <w:ind w:right="140" w:firstLine="509"/>
        <w:spacing w:after="0" w:line="256" w:lineRule="auto"/>
        <w:rPr>
          <w:sz w:val="20"/>
          <w:szCs w:val="20"/>
          <w:color w:val="auto"/>
        </w:rPr>
      </w:pPr>
      <w:r>
        <w:rPr>
          <w:rFonts w:ascii="Arial" w:cs="Arial" w:eastAsia="Arial" w:hAnsi="Arial"/>
          <w:sz w:val="18"/>
          <w:szCs w:val="18"/>
          <w:color w:val="auto"/>
        </w:rPr>
        <w:t>During 2022, the Company has granted options to purchase shares of common stock to employees and nonexecutive directors pursuant to the 2021 Plan at a weighted average fair value of $2.50 per share. The Company uses the Black-Scholes option-pricing model to estimate the fair value of the stock options on the applicable grant dates.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stock option award activity during the nine months ended September 30,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of Stock</w:t>
            </w:r>
          </w:p>
        </w:tc>
        <w:tc>
          <w:tcPr>
            <w:tcW w:w="180" w:type="dxa"/>
            <w:vAlign w:val="bottom"/>
          </w:tcPr>
          <w:p>
            <w:pPr>
              <w:spacing w:after="0"/>
              <w:rPr>
                <w:sz w:val="12"/>
                <w:szCs w:val="12"/>
                <w:color w:val="auto"/>
              </w:rPr>
            </w:pPr>
          </w:p>
        </w:tc>
        <w:tc>
          <w:tcPr>
            <w:tcW w:w="9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780" w:type="dxa"/>
            <w:vAlign w:val="bottom"/>
            <w:vMerge w:val="restart"/>
          </w:tcPr>
          <w:p>
            <w:pPr>
              <w:ind w:left="20"/>
              <w:spacing w:after="0"/>
              <w:rPr>
                <w:sz w:val="20"/>
                <w:szCs w:val="20"/>
                <w:color w:val="auto"/>
              </w:rPr>
            </w:pPr>
            <w:r>
              <w:rPr>
                <w:rFonts w:ascii="Arial" w:cs="Arial" w:eastAsia="Arial" w:hAnsi="Arial"/>
                <w:sz w:val="18"/>
                <w:szCs w:val="18"/>
                <w:color w:val="auto"/>
              </w:rPr>
              <w:t>Outstanding at December 31, 2021</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7"/>
                <w:szCs w:val="17"/>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3,026,464</w:t>
            </w:r>
          </w:p>
        </w:tc>
        <w:tc>
          <w:tcPr>
            <w:tcW w:w="2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1,115,554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(73,784 )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(394,052 )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(150,971 )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2022</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3,523,211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ind w:left="340"/>
              <w:spacing w:after="0" w:line="196" w:lineRule="exact"/>
              <w:rPr>
                <w:sz w:val="20"/>
                <w:szCs w:val="20"/>
                <w:color w:val="auto"/>
              </w:rPr>
            </w:pPr>
            <w:r>
              <w:rPr>
                <w:rFonts w:ascii="Arial" w:cs="Arial" w:eastAsia="Arial" w:hAnsi="Arial"/>
                <w:sz w:val="18"/>
                <w:szCs w:val="18"/>
                <w:color w:val="auto"/>
              </w:rPr>
              <w:t>Options expected to vest as of September 30, 2022</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2,139,280</w:t>
            </w:r>
          </w:p>
        </w:tc>
        <w:tc>
          <w:tcPr>
            <w:tcW w:w="2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6.43</w:t>
            </w: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8.86</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Exercisable at September 30, 2022</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1,383,931</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12.09</w:t>
            </w:r>
          </w:p>
        </w:tc>
        <w:tc>
          <w:tcPr>
            <w:tcW w:w="14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7.95</w:t>
            </w:r>
          </w:p>
        </w:tc>
        <w:tc>
          <w:tcPr>
            <w:tcW w:w="36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-350520</wp:posOffset>
            </wp:positionV>
            <wp:extent cx="7747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of stock options exercised in the nine months ended September 30, 2022 was $0.1 million.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grant date fair value of options vested during the nine months ended September 30, 2022 was $6.9 million.</w:t>
      </w:r>
    </w:p>
    <w:p>
      <w:pPr>
        <w:spacing w:after="0" w:line="212"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At September 30, 2022, there was approximately $12.1 million of unrecognized stock-based compensation expense associated with the stock options, which is expected to be recognized over a weighted-average period of 2.42 years.</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granted restricted stock units with service vesting based conditions.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restricted stock unit activity during the nine months ended September 30,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Restricted Stock Units</w:t>
            </w:r>
          </w:p>
        </w:tc>
        <w:tc>
          <w:tcPr>
            <w:tcW w:w="100" w:type="dxa"/>
            <w:vAlign w:val="bottom"/>
          </w:tcPr>
          <w:p>
            <w:pPr>
              <w:spacing w:after="0"/>
              <w:rPr>
                <w:sz w:val="14"/>
                <w:szCs w:val="14"/>
                <w:color w:val="auto"/>
              </w:rPr>
            </w:pPr>
          </w:p>
        </w:tc>
        <w:tc>
          <w:tcPr>
            <w:tcW w:w="150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2021</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239,963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(14,763 )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Unvested at September 30, 2022</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225,200</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ind w:left="260" w:right="380" w:firstLine="509"/>
        <w:spacing w:after="0" w:line="261" w:lineRule="auto"/>
        <w:rPr>
          <w:sz w:val="20"/>
          <w:szCs w:val="20"/>
          <w:color w:val="auto"/>
        </w:rPr>
      </w:pPr>
      <w:r>
        <w:rPr>
          <w:rFonts w:ascii="Arial" w:cs="Arial" w:eastAsia="Arial" w:hAnsi="Arial"/>
          <w:sz w:val="18"/>
          <w:szCs w:val="18"/>
          <w:color w:val="auto"/>
        </w:rPr>
        <w:t>Pursuant to the 2021 Plan, the Company granted restricted stock units which vest annually over a period of one, two, three or four years. No restricted stock units vested during the nine months ended September 30, 2022.</w:t>
      </w:r>
    </w:p>
    <w:p>
      <w:pPr>
        <w:spacing w:after="0" w:line="63" w:lineRule="exact"/>
        <w:rPr>
          <w:sz w:val="20"/>
          <w:szCs w:val="20"/>
          <w:color w:val="auto"/>
        </w:rPr>
      </w:pPr>
    </w:p>
    <w:p>
      <w:pPr>
        <w:ind w:left="260" w:right="120" w:firstLine="509"/>
        <w:spacing w:after="0" w:line="277" w:lineRule="auto"/>
        <w:rPr>
          <w:sz w:val="20"/>
          <w:szCs w:val="20"/>
          <w:color w:val="auto"/>
        </w:rPr>
      </w:pPr>
      <w:r>
        <w:rPr>
          <w:rFonts w:ascii="Arial" w:cs="Arial" w:eastAsia="Arial" w:hAnsi="Arial"/>
          <w:sz w:val="18"/>
          <w:szCs w:val="18"/>
          <w:color w:val="auto"/>
        </w:rPr>
        <w:t>At September 30, 2022, there was approximately $0.7 million of unrecognized stock-based compensation expense associated with the restricted stock units which is expected to be recognized over a weighted-average period of 3 years.</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employee-issued common stock warrant activity during the nine months ended September 30,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Common</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5"/>
              </w:rPr>
              <w:t>Value (in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82"/>
              <w:spacing w:after="0"/>
              <w:rPr>
                <w:sz w:val="20"/>
                <w:szCs w:val="20"/>
                <w:color w:val="auto"/>
              </w:rPr>
            </w:pPr>
            <w:r>
              <w:rPr>
                <w:rFonts w:ascii="Arial" w:cs="Arial" w:eastAsia="Arial" w:hAnsi="Arial"/>
                <w:sz w:val="14"/>
                <w:szCs w:val="14"/>
                <w:b w:val="1"/>
                <w:bCs w:val="1"/>
                <w:color w:val="auto"/>
                <w:w w:val="90"/>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2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57,004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Exercised</w:t>
            </w:r>
          </w:p>
        </w:tc>
        <w:tc>
          <w:tcPr>
            <w:tcW w:w="1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Expired</w:t>
            </w:r>
          </w:p>
        </w:tc>
        <w:tc>
          <w:tcPr>
            <w:tcW w:w="12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and exercisable at September 30, 2022</w:t>
            </w:r>
          </w:p>
        </w:tc>
        <w:tc>
          <w:tcPr>
            <w:tcW w:w="12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57,004</w:t>
            </w:r>
          </w:p>
        </w:tc>
        <w:tc>
          <w:tcPr>
            <w:tcW w:w="46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462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-1062355</wp:posOffset>
            </wp:positionV>
            <wp:extent cx="7747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-496570</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-479425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7"/>
          <w:szCs w:val="17"/>
          <w:color w:val="auto"/>
        </w:rPr>
        <w:t>As of September 30, 2022 there was no unrecognized stock-based compensation expense associated with the common stock warrants.</w:t>
      </w:r>
    </w:p>
    <w:p>
      <w:pPr>
        <w:spacing w:after="0" w:line="129" w:lineRule="exact"/>
        <w:rPr>
          <w:sz w:val="20"/>
          <w:szCs w:val="20"/>
          <w:color w:val="auto"/>
        </w:rPr>
      </w:pPr>
    </w:p>
    <w:p>
      <w:pPr>
        <w:ind w:right="260" w:firstLine="509"/>
        <w:spacing w:after="0" w:line="324" w:lineRule="auto"/>
        <w:rPr>
          <w:sz w:val="20"/>
          <w:szCs w:val="20"/>
          <w:color w:val="auto"/>
        </w:rPr>
      </w:pPr>
      <w:r>
        <w:rPr>
          <w:rFonts w:ascii="Arial" w:cs="Arial" w:eastAsia="Arial" w:hAnsi="Arial"/>
          <w:sz w:val="16"/>
          <w:szCs w:val="16"/>
          <w:color w:val="auto"/>
        </w:rPr>
        <w:t>For the nine months ended September 30, 2022, the Company utilized the Black-Scholes option-pricing model for estimating the fair value of the stock options granted. The following table presents the assumptions and the Company’s methodology for developing each of the assumptions used: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3760" w:type="dxa"/>
            <w:vAlign w:val="bottom"/>
            <w:tcBorders>
              <w:bottom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w w:val="93"/>
              </w:rPr>
              <w:t>Nine Months Ended September 30,</w:t>
            </w:r>
          </w:p>
        </w:tc>
        <w:tc>
          <w:tcPr>
            <w:tcW w:w="1540" w:type="dxa"/>
            <w:vAlign w:val="bottom"/>
            <w:tcBorders>
              <w:bottom w:val="single" w:sz="8" w:color="auto"/>
            </w:tcBorders>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594"/>
              <w:spacing w:after="0"/>
              <w:rPr>
                <w:sz w:val="20"/>
                <w:szCs w:val="20"/>
                <w:color w:val="auto"/>
              </w:rPr>
            </w:pPr>
            <w:r>
              <w:rPr>
                <w:rFonts w:ascii="Arial" w:cs="Arial" w:eastAsia="Arial" w:hAnsi="Arial"/>
                <w:sz w:val="14"/>
                <w:szCs w:val="14"/>
                <w:b w:val="1"/>
                <w:bCs w:val="1"/>
                <w:color w:val="auto"/>
                <w:w w:val="96"/>
              </w:rPr>
              <w:t>2021</w:t>
            </w:r>
          </w:p>
        </w:tc>
      </w:tr>
      <w:tr>
        <w:trPr>
          <w:trHeight w:val="209"/>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2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94%-97%</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540" w:type="dxa"/>
            <w:vAlign w:val="bottom"/>
            <w:shd w:val="clear" w:color="auto" w:fill="CFF0FC"/>
          </w:tcPr>
          <w:p>
            <w:pPr>
              <w:jc w:val="center"/>
              <w:ind w:right="614"/>
              <w:spacing w:after="0"/>
              <w:rPr>
                <w:sz w:val="20"/>
                <w:szCs w:val="20"/>
                <w:color w:val="auto"/>
              </w:rPr>
            </w:pPr>
            <w:r>
              <w:rPr>
                <w:rFonts w:ascii="Arial" w:cs="Arial" w:eastAsia="Arial" w:hAnsi="Arial"/>
                <w:sz w:val="18"/>
                <w:szCs w:val="18"/>
                <w:color w:val="auto"/>
                <w:w w:val="92"/>
              </w:rPr>
              <w:t>89%-98%</w:t>
            </w: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5.5-7.0</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Pr>
          <w:p>
            <w:pPr>
              <w:jc w:val="center"/>
              <w:ind w:right="594"/>
              <w:spacing w:after="0"/>
              <w:rPr>
                <w:sz w:val="20"/>
                <w:szCs w:val="20"/>
                <w:color w:val="auto"/>
              </w:rPr>
            </w:pPr>
            <w:r>
              <w:rPr>
                <w:rFonts w:ascii="Arial" w:cs="Arial" w:eastAsia="Arial" w:hAnsi="Arial"/>
                <w:sz w:val="18"/>
                <w:szCs w:val="18"/>
                <w:color w:val="auto"/>
                <w:w w:val="89"/>
              </w:rPr>
              <w:t>5.5-6.1</w:t>
            </w:r>
          </w:p>
        </w:tc>
      </w:tr>
      <w:tr>
        <w:trPr>
          <w:trHeight w:val="216"/>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3760" w:type="dxa"/>
            <w:vAlign w:val="bottom"/>
            <w:gridSpan w:val="3"/>
            <w:shd w:val="clear" w:color="auto" w:fill="CFF0FC"/>
          </w:tcPr>
          <w:p>
            <w:pPr>
              <w:jc w:val="center"/>
              <w:ind w:right="1000"/>
              <w:spacing w:after="0"/>
              <w:rPr>
                <w:sz w:val="20"/>
                <w:szCs w:val="20"/>
                <w:color w:val="auto"/>
              </w:rPr>
            </w:pPr>
            <w:r>
              <w:rPr>
                <w:rFonts w:ascii="Arial" w:cs="Arial" w:eastAsia="Arial" w:hAnsi="Arial"/>
                <w:sz w:val="18"/>
                <w:szCs w:val="18"/>
                <w:color w:val="auto"/>
                <w:w w:val="91"/>
              </w:rPr>
              <w:t>1.7%–4.0%</w:t>
            </w:r>
          </w:p>
        </w:tc>
        <w:tc>
          <w:tcPr>
            <w:tcW w:w="1540" w:type="dxa"/>
            <w:vAlign w:val="bottom"/>
            <w:shd w:val="clear" w:color="auto" w:fill="CFF0FC"/>
          </w:tcPr>
          <w:p>
            <w:pPr>
              <w:jc w:val="center"/>
              <w:ind w:right="594"/>
              <w:spacing w:after="0"/>
              <w:rPr>
                <w:sz w:val="20"/>
                <w:szCs w:val="20"/>
                <w:color w:val="auto"/>
              </w:rPr>
            </w:pPr>
            <w:r>
              <w:rPr>
                <w:rFonts w:ascii="Arial" w:cs="Arial" w:eastAsia="Arial" w:hAnsi="Arial"/>
                <w:sz w:val="18"/>
                <w:szCs w:val="18"/>
                <w:color w:val="auto"/>
                <w:w w:val="93"/>
              </w:rPr>
              <w:t>0.4%-1.2%</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3760" w:type="dxa"/>
            <w:vAlign w:val="bottom"/>
            <w:gridSpan w:val="3"/>
          </w:tcPr>
          <w:p>
            <w:pPr>
              <w:jc w:val="center"/>
              <w:ind w:right="1000"/>
              <w:spacing w:after="0"/>
              <w:rPr>
                <w:sz w:val="20"/>
                <w:szCs w:val="20"/>
                <w:color w:val="auto"/>
              </w:rPr>
            </w:pPr>
            <w:r>
              <w:rPr>
                <w:rFonts w:ascii="Arial" w:cs="Arial" w:eastAsia="Arial" w:hAnsi="Arial"/>
                <w:sz w:val="18"/>
                <w:szCs w:val="18"/>
                <w:color w:val="auto"/>
                <w:w w:val="93"/>
              </w:rPr>
              <w:t>—%</w:t>
            </w:r>
          </w:p>
        </w:tc>
        <w:tc>
          <w:tcPr>
            <w:tcW w:w="1540" w:type="dxa"/>
            <w:vAlign w:val="bottom"/>
          </w:tcPr>
          <w:p>
            <w:pPr>
              <w:jc w:val="center"/>
              <w:ind w:right="594"/>
              <w:spacing w:after="0"/>
              <w:rPr>
                <w:sz w:val="20"/>
                <w:szCs w:val="20"/>
                <w:color w:val="auto"/>
              </w:rPr>
            </w:pPr>
            <w:r>
              <w:rPr>
                <w:rFonts w:ascii="Arial" w:cs="Arial" w:eastAsia="Arial" w:hAnsi="Arial"/>
                <w:sz w:val="18"/>
                <w:szCs w:val="18"/>
                <w:color w:val="auto"/>
                <w:w w:val="99"/>
              </w:rPr>
              <w:t>—%</w:t>
            </w:r>
          </w:p>
        </w:tc>
      </w:tr>
    </w:tbl>
    <w:p>
      <w:pPr>
        <w:spacing w:after="0" w:line="282" w:lineRule="exact"/>
        <w:rPr>
          <w:sz w:val="20"/>
          <w:szCs w:val="20"/>
          <w:color w:val="auto"/>
        </w:rPr>
      </w:pPr>
    </w:p>
    <w:p>
      <w:pPr>
        <w:ind w:left="1040" w:right="520" w:hanging="523"/>
        <w:spacing w:after="0" w:line="261"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Volatility—The Company estimates the expected volatility of its common stock at the date of grant based on the historical volatility of comparable public companies over the expected term.</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life—The expected life is estimated as the contractual term.</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Risk-free interest rate—The risk-free rate for periods within the estimated life of the stock award is based on the U.S. Treasury yield curve in effect at the time of grant.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Dividend rate—The assumed dividend yield is based upon the Company’s expectation of not paying dividends in the foreseeable future.</w:t>
      </w:r>
    </w:p>
    <w:p>
      <w:pPr>
        <w:spacing w:after="0" w:line="237"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Stock-based compensation expense was recorded in the following line items in the condensed consolidated statements of operations for the nine months ended September 30, 2022 and 2021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4"/>
                <w:szCs w:val="14"/>
                <w:b w:val="1"/>
                <w:bCs w:val="1"/>
                <w:color w:val="auto"/>
                <w:w w:val="96"/>
              </w:rPr>
              <w:t>Three Months Ended September 30,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6"/>
                <w:szCs w:val="16"/>
                <w:color w:val="auto"/>
              </w:rPr>
            </w:pPr>
          </w:p>
        </w:tc>
      </w:tr>
      <w:tr>
        <w:trPr>
          <w:trHeight w:val="209"/>
        </w:trPr>
        <w:tc>
          <w:tcPr>
            <w:tcW w:w="5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FF0FC"/>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FF0FC"/>
          </w:tcPr>
          <w:p>
            <w:pPr>
              <w:spacing w:after="0"/>
              <w:rPr>
                <w:sz w:val="19"/>
                <w:szCs w:val="19"/>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8"/>
                <w:szCs w:val="18"/>
                <w:color w:val="auto"/>
              </w:rPr>
            </w:pPr>
          </w:p>
        </w:tc>
      </w:tr>
      <w:tr>
        <w:trPr>
          <w:trHeight w:val="250"/>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Borders>
              <w:bottom w:val="single" w:sz="8" w:color="CFF0FC"/>
            </w:tcBorders>
            <w:shd w:val="clear" w:color="auto" w:fill="CFF0FC"/>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-24765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RETIREMENT PLAN</w:t>
      </w:r>
    </w:p>
    <w:p>
      <w:pPr>
        <w:spacing w:after="0" w:line="108" w:lineRule="exact"/>
        <w:rPr>
          <w:sz w:val="20"/>
          <w:szCs w:val="20"/>
          <w:color w:val="auto"/>
        </w:rPr>
      </w:pPr>
    </w:p>
    <w:p>
      <w:pPr>
        <w:ind w:right="280" w:firstLine="509"/>
        <w:spacing w:after="0" w:line="288" w:lineRule="auto"/>
        <w:rPr>
          <w:sz w:val="20"/>
          <w:szCs w:val="20"/>
          <w:color w:val="auto"/>
        </w:rPr>
      </w:pPr>
      <w:r>
        <w:rPr>
          <w:rFonts w:ascii="Arial" w:cs="Arial" w:eastAsia="Arial" w:hAnsi="Arial"/>
          <w:sz w:val="16"/>
          <w:szCs w:val="16"/>
          <w:color w:val="auto"/>
        </w:rPr>
        <w:t>The Company maintains a defined contribution 401(k) profit-sharing plan (the “Plan”) for all employees. Under the Plan, participants may make voluntary contributions up to the maximum amount allowable by law. The Plan is based on employees’ salary deferral, and the Company matches employees’ contributions up to 4% of the employees’ base salary. Employees are 100% vested in the Company’s match contributions. During the three months ended September 30, 2022 and 2021, the Company's matching contributions were $85 thousand and $62 thousand, respectively. During the nine months ended September 30, 2022 and 2021, the Company's matching contributions were $268 thousand and $167 thousand, respectively.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RELATED-PARTY TRANSACTIONS</w:t>
      </w:r>
    </w:p>
    <w:p>
      <w:pPr>
        <w:spacing w:after="0" w:line="3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 Agreement - Hope Farms</w:t>
      </w:r>
    </w:p>
    <w:p>
      <w:pPr>
        <w:spacing w:after="0" w:line="117" w:lineRule="exact"/>
        <w:rPr>
          <w:sz w:val="20"/>
          <w:szCs w:val="20"/>
          <w:color w:val="auto"/>
        </w:rPr>
      </w:pPr>
    </w:p>
    <w:p>
      <w:pPr>
        <w:jc w:val="both"/>
        <w:ind w:right="300" w:firstLine="509"/>
        <w:spacing w:after="0" w:line="294" w:lineRule="auto"/>
        <w:rPr>
          <w:sz w:val="20"/>
          <w:szCs w:val="20"/>
          <w:color w:val="auto"/>
        </w:rPr>
      </w:pPr>
      <w:r>
        <w:rPr>
          <w:rFonts w:ascii="Arial" w:cs="Arial" w:eastAsia="Arial" w:hAnsi="Arial"/>
          <w:sz w:val="16"/>
          <w:szCs w:val="16"/>
          <w:color w:val="auto"/>
        </w:rPr>
        <w:t>During 2020, the Company entered into a service agreement with Hope Farms at Disco Bay LLC (“Hope Farms”) to provide animal vaccination testing and provide samples to the Company (the “Hope Farms Service Agreement”). The Company’s Chief Research and Development Officer is a co-founder and partial owner of Hope Farms. Further, the CEO of Hope Farms is the spouse of the Company’s Chief Research and Development Officer.</w:t>
      </w:r>
    </w:p>
    <w:p>
      <w:pPr>
        <w:spacing w:after="0" w:line="39" w:lineRule="exact"/>
        <w:rPr>
          <w:sz w:val="20"/>
          <w:szCs w:val="20"/>
          <w:color w:val="auto"/>
        </w:rPr>
      </w:pPr>
    </w:p>
    <w:p>
      <w:pPr>
        <w:jc w:val="both"/>
        <w:ind w:right="60" w:firstLine="509"/>
        <w:spacing w:after="0" w:line="256" w:lineRule="auto"/>
        <w:rPr>
          <w:sz w:val="20"/>
          <w:szCs w:val="20"/>
          <w:color w:val="auto"/>
        </w:rPr>
      </w:pPr>
      <w:r>
        <w:rPr>
          <w:rFonts w:ascii="Arial" w:cs="Arial" w:eastAsia="Arial" w:hAnsi="Arial"/>
          <w:sz w:val="18"/>
          <w:szCs w:val="18"/>
          <w:color w:val="auto"/>
        </w:rPr>
        <w:t>Expenses recognized by the Company relating to the Hope Farms Service Agreement for the nine months ended September 30, 2022 and 2021 were $104 thousand and $121 thousand, respectively. In October 2022, the Company and Hope Farms agreed to terminate the Hope Farms Services Agreement, effective as of September 30, 2022.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p>
      <w:pPr>
        <w:ind w:left="260"/>
        <w:spacing w:after="0"/>
        <w:rPr>
          <w:sz w:val="20"/>
          <w:szCs w:val="20"/>
          <w:color w:val="auto"/>
        </w:rPr>
      </w:pPr>
      <w:r>
        <w:rPr>
          <w:rFonts w:ascii="Arial" w:cs="Arial" w:eastAsia="Arial" w:hAnsi="Arial"/>
          <w:sz w:val="18"/>
          <w:szCs w:val="18"/>
          <w:b w:val="1"/>
          <w:bCs w:val="1"/>
          <w:i w:val="1"/>
          <w:iCs w:val="1"/>
          <w:color w:val="auto"/>
        </w:rPr>
        <w:t>Service Agreement - Binney Street Partners</w:t>
      </w:r>
    </w:p>
    <w:p>
      <w:pPr>
        <w:spacing w:after="0" w:line="117" w:lineRule="exact"/>
        <w:rPr>
          <w:sz w:val="20"/>
          <w:szCs w:val="20"/>
          <w:color w:val="auto"/>
        </w:rPr>
      </w:pPr>
    </w:p>
    <w:p>
      <w:pPr>
        <w:ind w:right="260" w:firstLine="509"/>
        <w:spacing w:after="0" w:line="249" w:lineRule="auto"/>
        <w:rPr>
          <w:sz w:val="20"/>
          <w:szCs w:val="20"/>
          <w:color w:val="auto"/>
        </w:rPr>
      </w:pPr>
      <w:r>
        <w:rPr>
          <w:rFonts w:ascii="Arial" w:cs="Arial" w:eastAsia="Arial" w:hAnsi="Arial"/>
          <w:sz w:val="18"/>
          <w:szCs w:val="18"/>
          <w:color w:val="auto"/>
        </w:rPr>
        <w:t>During 2022, the Company entered into a service agreement with Binney Street Partners LLC (“Binney Street Partners”) to provide business development services (the “BSP Service Agreement”). The Company subsequently hired a managing partner of Binney Street Partners to serve as the Company's Chief Business Officer, effective June 1, 2022. In September 2022, the Company and Binney Street Partners agreed to terminate the services agreement, effective as of August 11, 2022.</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Expenses recognized by the Company relating to the BSP Service Agreement for the nine months ended September 30, 2022 were $221 thousand.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no provision for income taxes for the nine months ended September 30, 2022 and 2021.</w:t>
      </w:r>
    </w:p>
    <w:p>
      <w:pPr>
        <w:spacing w:after="0" w:line="21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Deferred tax assets and deferred tax liabilities are recognized based on temporary differences between the financial reporting and tax bases of assets and liabilities using statutory rates. Management of the Company has evaluated the positive and negative evidence bearing upon the realizability of its deferred tax assets, which are comprised principally of net operating loss carryforwards and research and development credits. Under the applicable accounting standards, management has considered the Company’s history of losses and concluded that it is more likely than not that the Company will not recognize the benefits of federal and state deferred tax assets. Accordingly, a full valuation allowance has been established against the Company’s otherwise recognizable net deferred tax assets.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Basic and diluted net loss per share attributable to common stockholders is calculated as follows (in thousands except share and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380" w:type="dxa"/>
            <w:vAlign w:val="bottom"/>
            <w:gridSpan w:val="5"/>
          </w:tcPr>
          <w:p>
            <w:pPr>
              <w:jc w:val="right"/>
              <w:ind w:right="14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69"/>
        </w:trPr>
        <w:tc>
          <w:tcPr>
            <w:tcW w:w="55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(13,416 )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(9,685 )</w:t>
            </w:r>
          </w:p>
        </w:tc>
        <w:tc>
          <w:tcPr>
            <w:tcW w:w="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(36,356 )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(27,428 )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share—basic and diluted</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(0.44</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5580" w:type="dxa"/>
            <w:vAlign w:val="bottom"/>
          </w:tcPr>
          <w:p>
            <w:pPr>
              <w:ind w:left="20"/>
              <w:spacing w:after="0" w:line="155" w:lineRule="exact"/>
              <w:rPr>
                <w:sz w:val="20"/>
                <w:szCs w:val="20"/>
                <w:color w:val="auto"/>
              </w:rPr>
            </w:pPr>
            <w:r>
              <w:rPr>
                <w:rFonts w:ascii="Arial" w:cs="Arial" w:eastAsia="Arial" w:hAnsi="Arial"/>
                <w:sz w:val="17"/>
                <w:szCs w:val="17"/>
                <w:color w:val="auto"/>
                <w:w w:val="99"/>
              </w:rPr>
              <w:t>Weighted-average number of shares used in computing net loss per share</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30,720,291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7"/>
              </w:rPr>
              <w:t>30,588,495</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30,690,175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7"/>
              </w:rPr>
              <w:t>26,736,745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80" w:type="dxa"/>
            <w:vAlign w:val="bottom"/>
          </w:tcPr>
          <w:p>
            <w:pPr>
              <w:ind w:left="20"/>
              <w:spacing w:after="0" w:line="190" w:lineRule="exact"/>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-590550</wp:posOffset>
            </wp:positionV>
            <wp:extent cx="76835"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-590550</wp:posOffset>
            </wp:positionV>
            <wp:extent cx="7747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-590550</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-281940</wp:posOffset>
            </wp:positionV>
            <wp:extent cx="2897505" cy="2825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97505" cy="282575"/>
                    </a:xfrm>
                    <a:prstGeom prst="rect">
                      <a:avLst/>
                    </a:prstGeom>
                    <a:noFill/>
                  </pic:spPr>
                </pic:pic>
              </a:graphicData>
            </a:graphic>
          </wp:anchor>
        </w:drawing>
      </w:r>
    </w:p>
    <w:p>
      <w:pPr>
        <w:spacing w:after="0" w:line="168" w:lineRule="exact"/>
        <w:rPr>
          <w:sz w:val="20"/>
          <w:szCs w:val="20"/>
          <w:color w:val="auto"/>
        </w:rPr>
      </w:pPr>
    </w:p>
    <w:p>
      <w:pPr>
        <w:ind w:right="80" w:firstLine="509"/>
        <w:spacing w:after="0" w:line="250"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share, as their effect is anti-dilutive: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For the Nine Months Ended September 30,</w:t>
            </w:r>
          </w:p>
        </w:tc>
        <w:tc>
          <w:tcPr>
            <w:tcW w:w="100" w:type="dxa"/>
            <w:vAlign w:val="bottom"/>
          </w:tcPr>
          <w:p>
            <w:pPr>
              <w:spacing w:after="0"/>
              <w:rPr>
                <w:sz w:val="15"/>
                <w:szCs w:val="15"/>
                <w:color w:val="auto"/>
              </w:rPr>
            </w:pPr>
          </w:p>
        </w:tc>
      </w:tr>
      <w:tr>
        <w:trPr>
          <w:trHeight w:val="169"/>
        </w:trPr>
        <w:tc>
          <w:tcPr>
            <w:tcW w:w="5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80" w:type="dxa"/>
            <w:vAlign w:val="bottom"/>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186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232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3,523,211</w:t>
            </w:r>
          </w:p>
        </w:tc>
        <w:tc>
          <w:tcPr>
            <w:tcW w:w="24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3,264,200</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Unvested restricted stock units</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225,200</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1"/>
              </w:rPr>
              <w:t>Warrants issued to employees and contractor to purchase common stock</w:t>
            </w:r>
          </w:p>
        </w:tc>
        <w:tc>
          <w:tcPr>
            <w:tcW w:w="3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57,004</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57,212</w:t>
            </w:r>
          </w:p>
        </w:tc>
        <w:tc>
          <w:tcPr>
            <w:tcW w:w="100" w:type="dxa"/>
            <w:vAlign w:val="bottom"/>
            <w:shd w:val="clear" w:color="auto" w:fill="CFF0FC"/>
          </w:tcPr>
          <w:p>
            <w:pPr>
              <w:spacing w:after="0"/>
              <w:rPr>
                <w:sz w:val="18"/>
                <w:szCs w:val="18"/>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w w:val="91"/>
              </w:rPr>
              <w:t>Warrants issued related to convertible notes and other equity agreements</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412,262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412,262</w:t>
            </w:r>
          </w:p>
        </w:tc>
        <w:tc>
          <w:tcPr>
            <w:tcW w:w="100" w:type="dxa"/>
            <w:vAlign w:val="bottom"/>
          </w:tcPr>
          <w:p>
            <w:pPr>
              <w:spacing w:after="0"/>
              <w:rPr>
                <w:sz w:val="20"/>
                <w:szCs w:val="20"/>
                <w:color w:val="auto"/>
              </w:rPr>
            </w:pPr>
          </w:p>
        </w:tc>
      </w:tr>
      <w:tr>
        <w:trPr>
          <w:trHeight w:val="620"/>
        </w:trPr>
        <w:tc>
          <w:tcPr>
            <w:tcW w:w="5380" w:type="dxa"/>
            <w:vAlign w:val="bottom"/>
          </w:tcPr>
          <w:p>
            <w:pPr>
              <w:spacing w:after="0"/>
              <w:rPr>
                <w:sz w:val="24"/>
                <w:szCs w:val="24"/>
                <w:color w:val="auto"/>
              </w:rPr>
            </w:pPr>
          </w:p>
        </w:tc>
        <w:tc>
          <w:tcPr>
            <w:tcW w:w="2320" w:type="dxa"/>
            <w:vAlign w:val="bottom"/>
          </w:tcPr>
          <w:p>
            <w:pPr>
              <w:jc w:val="right"/>
              <w:ind w:right="1890"/>
              <w:spacing w:after="0"/>
              <w:rPr>
                <w:sz w:val="20"/>
                <w:szCs w:val="20"/>
                <w:color w:val="auto"/>
              </w:rPr>
            </w:pPr>
            <w:r>
              <w:rPr>
                <w:rFonts w:ascii="Arial" w:cs="Arial" w:eastAsia="Arial" w:hAnsi="Arial"/>
                <w:sz w:val="18"/>
                <w:szCs w:val="18"/>
                <w:color w:val="auto"/>
              </w:rPr>
              <w:t>15</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38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and phrases “designed to,” “may,” “might,” “can,” “will,” “to be,” “could,” “would,” “should,” “expect,” “intend,” “plan,” “objective,” “anticipate,” “believe,” “estimate,” “predict,” “project,” “potential,” “likely,” “continue,” “ongoing” or similar expressions, or the negative of such words,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in this Quarterly Report under the caption “Risk Factors,” and in our other filings with the Securities and Exchange Commission, or SEC.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73" w:lineRule="exact"/>
        <w:rPr>
          <w:sz w:val="20"/>
          <w:szCs w:val="20"/>
          <w:color w:val="auto"/>
        </w:rPr>
      </w:pPr>
    </w:p>
    <w:p>
      <w:pPr>
        <w:ind w:right="260" w:firstLine="509"/>
        <w:spacing w:after="0" w:line="24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that appear in Item 1 of this Quarterly Report on Form 10-Q and with our audited consolidated financial statements and related notes for the year ended December 31, 2021, which are included in our Annual Report on Form 10-K filed with the SEC on March 15,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We are an immuno-oncology company focused on the discovery and development of next-generation therapeutics for cancer patients. Through our TMAb™ (Tumor Microenvironment Activated Biologics) platform, we are developing highly selective therapeutics designed to disable checkpoints and other immunosuppressive signals selectively in the tumor microenvironment to unleash T cells against tumors. Our strategy is to generate novel product candidates that incorporate next-generation technologies or approaches using our robust set of R&amp;D capabilities. We plan to efficiently develop these product candidates by incorporating state-of-the-art biomarker approaches and mechanistic understanding into clinical trial designs targeted to well-defined patient populations.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currently have three investigational products in various stages of development:</w:t>
      </w:r>
    </w:p>
    <w:p>
      <w:pPr>
        <w:spacing w:after="0" w:line="113" w:lineRule="exact"/>
        <w:rPr>
          <w:sz w:val="20"/>
          <w:szCs w:val="20"/>
          <w:color w:val="auto"/>
        </w:rPr>
      </w:pPr>
    </w:p>
    <w:p>
      <w:pPr>
        <w:ind w:left="1020" w:right="580" w:hanging="503"/>
        <w:spacing w:after="0" w:line="26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SNS-101 </w:t>
      </w:r>
      <w:r>
        <w:rPr>
          <w:rFonts w:ascii="Arial" w:cs="Arial" w:eastAsia="Arial" w:hAnsi="Arial"/>
          <w:sz w:val="18"/>
          <w:szCs w:val="18"/>
          <w:color w:val="auto"/>
        </w:rPr>
        <w:t>is our conditionally active monoclonal antibody targeting the immune checkpoint VISTA (V-domain Ig suppressor of T cell</w:t>
      </w:r>
      <w:r>
        <w:rPr>
          <w:rFonts w:ascii="Arial" w:cs="Arial" w:eastAsia="Arial" w:hAnsi="Arial"/>
          <w:sz w:val="18"/>
          <w:szCs w:val="18"/>
          <w:b w:val="1"/>
          <w:bCs w:val="1"/>
          <w:color w:val="auto"/>
        </w:rPr>
        <w:t xml:space="preserve"> </w:t>
      </w:r>
      <w:r>
        <w:rPr>
          <w:rFonts w:ascii="Arial" w:cs="Arial" w:eastAsia="Arial" w:hAnsi="Arial"/>
          <w:sz w:val="18"/>
          <w:szCs w:val="18"/>
          <w:color w:val="auto"/>
        </w:rPr>
        <w:t>activation) and is currently in IND-enabling studies.</w:t>
      </w:r>
    </w:p>
    <w:p>
      <w:pPr>
        <w:spacing w:after="0" w:line="58" w:lineRule="exact"/>
        <w:rPr>
          <w:rFonts w:ascii="Arial" w:cs="Arial" w:eastAsia="Arial" w:hAnsi="Arial"/>
          <w:sz w:val="18"/>
          <w:szCs w:val="18"/>
          <w:color w:val="auto"/>
        </w:rPr>
      </w:pPr>
    </w:p>
    <w:p>
      <w:pPr>
        <w:ind w:left="1540" w:hanging="509"/>
        <w:spacing w:after="0" w:line="249" w:lineRule="auto"/>
        <w:rPr>
          <w:rFonts w:ascii="Arial" w:cs="Arial" w:eastAsia="Arial" w:hAnsi="Arial"/>
          <w:sz w:val="18"/>
          <w:szCs w:val="18"/>
          <w:color w:val="auto"/>
        </w:rPr>
      </w:pPr>
      <w:r>
        <w:rPr>
          <w:rFonts w:ascii="Arial" w:cs="Arial" w:eastAsia="Arial" w:hAnsi="Arial"/>
          <w:sz w:val="18"/>
          <w:szCs w:val="18"/>
          <w:color w:val="auto"/>
        </w:rPr>
        <w:t>oWe expect to submit an IND in the first half of 2023 for a Phase 1/2 clinical trial. Subject to regulatory clearance, the Company is planning a first-in-human Phase 1/2 open-label, multi-center, dose escalation and expansion study to evaluate the safety, tolerability, pharmacokinetics, pharmacodynamics and efficacy of SNS-101 as monotherapy and/or in combination with PD-1 blockade in patients with advanced solid tumors.</w:t>
      </w:r>
    </w:p>
    <w:p>
      <w:pPr>
        <w:spacing w:after="0" w:line="86" w:lineRule="exact"/>
        <w:rPr>
          <w:rFonts w:ascii="Arial" w:cs="Arial" w:eastAsia="Arial" w:hAnsi="Arial"/>
          <w:sz w:val="18"/>
          <w:szCs w:val="18"/>
          <w:color w:val="auto"/>
        </w:rPr>
      </w:pPr>
    </w:p>
    <w:p>
      <w:pPr>
        <w:ind w:left="1540" w:right="160" w:hanging="509"/>
        <w:spacing w:after="0" w:line="243" w:lineRule="auto"/>
        <w:rPr>
          <w:rFonts w:ascii="Arial" w:cs="Arial" w:eastAsia="Arial" w:hAnsi="Arial"/>
          <w:sz w:val="18"/>
          <w:szCs w:val="18"/>
          <w:color w:val="auto"/>
        </w:rPr>
      </w:pPr>
      <w:r>
        <w:rPr>
          <w:rFonts w:ascii="Arial" w:cs="Arial" w:eastAsia="Arial" w:hAnsi="Arial"/>
          <w:sz w:val="18"/>
          <w:szCs w:val="18"/>
          <w:color w:val="auto"/>
        </w:rPr>
        <w:t>oWe expect the primary objectives for the Phase 1 portion of the clinical trial will be to evaluate safety and tolerability and determine the maximum tolerated dose and recommended monotherapy and combination dose for the Phase 2 portion of the trial. Secondary objectives are expected to include determination of the pharmacokinetic profile of SNS-101, immunogenicity and preliminary evidence of anti-tumor activity as monotherapy and in combination with PD-1 blockade. As exploratory endpoints we plan to assess biomarkers of SNS-101, which may include serum cytokine/chemokine analysis; blood cell phenotyping; and tumor and blood sequencing/phenotyping.</w:t>
      </w:r>
    </w:p>
    <w:p>
      <w:pPr>
        <w:spacing w:after="0" w:line="79" w:lineRule="exact"/>
        <w:rPr>
          <w:rFonts w:ascii="Arial" w:cs="Arial" w:eastAsia="Arial" w:hAnsi="Arial"/>
          <w:sz w:val="18"/>
          <w:szCs w:val="18"/>
          <w:color w:val="auto"/>
        </w:rPr>
      </w:pPr>
    </w:p>
    <w:p>
      <w:pPr>
        <w:ind w:left="1540" w:right="180" w:hanging="509"/>
        <w:spacing w:after="0" w:line="303"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For the Phase 2 portion of the clinical trial, in addition to continuing to evaluate the safety and efficacy of SNS-101 as monotherapy and in combination with PD-1 blockade, we plan to evaluate exploratory endpoints such as multiplex immunohistochemistry; circulating tumor DNA; tumor and blood cell sequencing (RNA and DNA); and single-cell RNA sequencing.</w:t>
      </w:r>
    </w:p>
    <w:p>
      <w:pPr>
        <w:spacing w:after="0" w:line="32" w:lineRule="exact"/>
        <w:rPr>
          <w:rFonts w:ascii="Arial" w:cs="Arial" w:eastAsia="Arial" w:hAnsi="Arial"/>
          <w:sz w:val="18"/>
          <w:szCs w:val="18"/>
          <w:color w:val="auto"/>
        </w:rPr>
      </w:pPr>
    </w:p>
    <w:p>
      <w:pPr>
        <w:ind w:left="1540" w:right="180" w:hanging="509"/>
        <w:spacing w:after="0" w:line="290"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We hypothesize that SNS-101, either alone or in combination, may yield clinical benefit in at least three settings where significant unmet medical need persists: (1) improving responses in patients who will be treated with PD-1 blockade therapy; (2) improving responses in patients who have received PD-1 blockade therapy, but who have experienced disease progression; and (3) tumor types which are inflamed but where PD-1 blockade monotherapy is largely ineffective, such as micro satellite stable colorectal cancer.</w:t>
      </w:r>
    </w:p>
    <w:p>
      <w:pPr>
        <w:spacing w:after="0" w:line="51" w:lineRule="exact"/>
        <w:rPr>
          <w:rFonts w:ascii="Arial" w:cs="Arial" w:eastAsia="Arial" w:hAnsi="Arial"/>
          <w:sz w:val="18"/>
          <w:szCs w:val="18"/>
          <w:color w:val="auto"/>
        </w:rPr>
      </w:pPr>
    </w:p>
    <w:p>
      <w:pPr>
        <w:ind w:left="1020" w:right="180" w:hanging="503"/>
        <w:spacing w:after="0" w:line="26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SNS-102 </w:t>
      </w:r>
      <w:r>
        <w:rPr>
          <w:rFonts w:ascii="Arial" w:cs="Arial" w:eastAsia="Arial" w:hAnsi="Arial"/>
          <w:sz w:val="18"/>
          <w:szCs w:val="18"/>
          <w:color w:val="auto"/>
        </w:rPr>
        <w:t>is our conditionally active monoclonal antibody targeting VSIG4 (V-Set and Immunoglobulin Domain Containing 4), an immune</w:t>
      </w:r>
      <w:r>
        <w:rPr>
          <w:rFonts w:ascii="Arial" w:cs="Arial" w:eastAsia="Arial" w:hAnsi="Arial"/>
          <w:sz w:val="18"/>
          <w:szCs w:val="18"/>
          <w:b w:val="1"/>
          <w:bCs w:val="1"/>
          <w:color w:val="auto"/>
        </w:rPr>
        <w:t xml:space="preserve"> </w:t>
      </w:r>
      <w:r>
        <w:rPr>
          <w:rFonts w:ascii="Arial" w:cs="Arial" w:eastAsia="Arial" w:hAnsi="Arial"/>
          <w:sz w:val="18"/>
          <w:szCs w:val="18"/>
          <w:color w:val="auto"/>
        </w:rPr>
        <w:t>checkpoint often expressed on macrophages. We have identified eight parental pH-sensitive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8" w:name="page19"/>
    <w:bookmarkEnd w:id="18"/>
    <w:p>
      <w:pPr>
        <w:ind w:left="1020"/>
        <w:spacing w:after="0"/>
        <w:rPr>
          <w:sz w:val="20"/>
          <w:szCs w:val="20"/>
          <w:color w:val="auto"/>
        </w:rPr>
      </w:pPr>
      <w:r>
        <w:rPr>
          <w:rFonts w:ascii="Arial" w:cs="Arial" w:eastAsia="Arial" w:hAnsi="Arial"/>
          <w:sz w:val="17"/>
          <w:szCs w:val="17"/>
          <w:color w:val="auto"/>
        </w:rPr>
        <w:t>VSIG4 antibodies, and a lead antibody set is currently undergoing further optimization. We expect to select a product candidate in 2023.</w:t>
      </w:r>
    </w:p>
    <w:p>
      <w:pPr>
        <w:spacing w:after="0" w:line="125" w:lineRule="exact"/>
        <w:rPr>
          <w:sz w:val="20"/>
          <w:szCs w:val="20"/>
          <w:color w:val="auto"/>
        </w:rPr>
      </w:pPr>
    </w:p>
    <w:p>
      <w:pPr>
        <w:ind w:left="1020" w:right="120" w:hanging="503"/>
        <w:spacing w:after="0" w:line="329"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SNS-103 </w:t>
      </w:r>
      <w:r>
        <w:rPr>
          <w:rFonts w:ascii="Arial" w:cs="Arial" w:eastAsia="Arial" w:hAnsi="Arial"/>
          <w:sz w:val="16"/>
          <w:szCs w:val="16"/>
          <w:color w:val="auto"/>
        </w:rPr>
        <w:t>is our conditionally active monoclonal antibody targeting ENTPDase1 (ecto-nucleoside triphosphate diphosphohydrolase-1), also</w:t>
      </w:r>
      <w:r>
        <w:rPr>
          <w:rFonts w:ascii="Arial" w:cs="Arial" w:eastAsia="Arial" w:hAnsi="Arial"/>
          <w:sz w:val="16"/>
          <w:szCs w:val="16"/>
          <w:b w:val="1"/>
          <w:bCs w:val="1"/>
          <w:color w:val="auto"/>
        </w:rPr>
        <w:t xml:space="preserve"> </w:t>
      </w:r>
      <w:r>
        <w:rPr>
          <w:rFonts w:ascii="Arial" w:cs="Arial" w:eastAsia="Arial" w:hAnsi="Arial"/>
          <w:sz w:val="16"/>
          <w:szCs w:val="16"/>
          <w:color w:val="auto"/>
        </w:rPr>
        <w:t>known as CD39. We began screening the first set of parental antibodies in September 2022 and expect to select a product candidate in 2023.</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Upon successful candidate selection, we expect to initiate IND-enabling studies for at least one product candidate in 2023.</w:t>
      </w:r>
    </w:p>
    <w:p>
      <w:pPr>
        <w:spacing w:after="0" w:line="122" w:lineRule="exact"/>
        <w:rPr>
          <w:sz w:val="20"/>
          <w:szCs w:val="20"/>
          <w:color w:val="auto"/>
        </w:rPr>
      </w:pPr>
    </w:p>
    <w:p>
      <w:pPr>
        <w:ind w:right="140" w:firstLine="509"/>
        <w:spacing w:after="0" w:line="235" w:lineRule="auto"/>
        <w:rPr>
          <w:sz w:val="20"/>
          <w:szCs w:val="20"/>
          <w:color w:val="auto"/>
        </w:rPr>
      </w:pPr>
      <w:r>
        <w:rPr>
          <w:rFonts w:ascii="Arial" w:cs="Arial" w:eastAsia="Arial" w:hAnsi="Arial"/>
          <w:sz w:val="17"/>
          <w:szCs w:val="17"/>
          <w:color w:val="auto"/>
        </w:rPr>
        <w:t>In November 2022, we announced the suspension of development efforts related to our ImmunoPhage</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including our product candidate SNS-401-NG which we had been developing initially for the treatment of Merkel cell carcinoma. We no longer plan to develop any product candidates using our ImmunoPhage platform, and instead expect to focus all our resources and efforts on our TMAb platform.</w:t>
      </w:r>
    </w:p>
    <w:p>
      <w:pPr>
        <w:spacing w:after="0" w:line="96"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auto"/>
        </w:rPr>
        <w:t>We do not have any product candidates approved for sale, have not generated any revenue from product sales, and do not expect to generate any revenue from product sales for at least the next several years. We have largely funded our operations with proceeds from the sale of convertible preferred stock, common stock and convertible debt. Through the date of this report, we have raised an aggregate of $123.4 million of gross proceeds from private placements of our equity and convertible debt securities and net proceeds of $138.5 million from our initial public offering, or IPO, in February 2021.</w:t>
      </w:r>
    </w:p>
    <w:p>
      <w:pPr>
        <w:spacing w:after="0" w:line="61"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We have incurred significant operating losses over the last several years. Our net loss was $36.4 million and $27.4 million for the nine months ended September 30, 2022 and 2021, respectively. As of September 30, 2022, we had an accumulated deficit of $185.6 million. We expect to continue to incur significant expenses and operating losses for the foreseeable future. We anticipate that our expenses will increase significantly in connection with our ongoing activities, as we:</w:t>
      </w:r>
    </w:p>
    <w:p>
      <w:pPr>
        <w:spacing w:after="0" w:line="73"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prepare to submit INDs and then initiate clinical development of product candidates, including SNS-101;</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our TMAb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or acquire or in-license drugs, product candidates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manufacturing capabilities to commercialize any product candidates for which we may obtain regulatory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manufacture our product candidates or otherwise secure the clinical and commercial supply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research and development and selling, general and administrative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0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Cash used to fund operating expenses is impacted by the timing of when we pay these expenses, as reflected in the change in our accounts payable and accrued expenses. We expect to continue to incur net losses and negative cash flows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product candidates, as well as hire additional personnel, pay fees to outside consultants, lawyers and accountants, and incur other increased costs associated with being a public company. In addition, if we seek and obtain regulatory approval to commercialize any product candidate, we will also incur increased expenses in connection with commercialization and marketing of any such product.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08" w:lineRule="exact"/>
        <w:rPr>
          <w:sz w:val="20"/>
          <w:szCs w:val="20"/>
          <w:color w:val="auto"/>
        </w:rPr>
      </w:pPr>
    </w:p>
    <w:p>
      <w:pPr>
        <w:jc w:val="both"/>
        <w:ind w:right="560" w:firstLine="509"/>
        <w:spacing w:after="0" w:line="249" w:lineRule="auto"/>
        <w:rPr>
          <w:sz w:val="20"/>
          <w:szCs w:val="20"/>
          <w:color w:val="auto"/>
        </w:rPr>
      </w:pPr>
      <w:r>
        <w:rPr>
          <w:rFonts w:ascii="Arial" w:cs="Arial" w:eastAsia="Arial" w:hAnsi="Arial"/>
          <w:sz w:val="18"/>
          <w:szCs w:val="18"/>
          <w:color w:val="auto"/>
        </w:rPr>
        <w:t>The length of time and full extent to which the COVID-19 pandemic will directly or indirectly impact our business, results of operations and financial condition will depend on future developments that are highly uncertain, subject to change and are difficult to predict. While we continue to conduct our research and development activities, the COVID-19 pandemic may cause disruptions that impact the timing of our planned clinical and preclinical studies and ongoing preclinical studies.</w:t>
      </w:r>
    </w:p>
    <w:p>
      <w:pPr>
        <w:spacing w:after="0" w:line="181" w:lineRule="exact"/>
        <w:rPr>
          <w:sz w:val="20"/>
          <w:szCs w:val="20"/>
          <w:color w:val="auto"/>
        </w:rPr>
      </w:pPr>
    </w:p>
    <w:p>
      <w:pPr>
        <w:ind w:right="240" w:firstLine="509"/>
        <w:spacing w:after="0" w:line="249" w:lineRule="auto"/>
        <w:rPr>
          <w:sz w:val="20"/>
          <w:szCs w:val="20"/>
          <w:color w:val="auto"/>
        </w:rPr>
      </w:pPr>
      <w:r>
        <w:rPr>
          <w:rFonts w:ascii="Arial" w:cs="Arial" w:eastAsia="Arial" w:hAnsi="Arial"/>
          <w:sz w:val="18"/>
          <w:szCs w:val="18"/>
          <w:color w:val="auto"/>
        </w:rPr>
        <w:t>In addition, a further recurrence of COVID-19 cases could cause other widespread or more severe impacts depending on where infection rates are highest. We plan to continue to closely monitor the ongoing impact of the COVID-19 pandemic on our employees and our business operations, and will take actions as may be required or recommended by government authorities or as we determine that which is in the best interests of our employees and other business partners in light of the pandemic. To date, there has not been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ind w:right="520"/>
        <w:spacing w:after="0" w:line="277" w:lineRule="auto"/>
        <w:rPr>
          <w:sz w:val="20"/>
          <w:szCs w:val="20"/>
          <w:color w:val="auto"/>
        </w:rPr>
      </w:pPr>
      <w:r>
        <w:rPr>
          <w:rFonts w:ascii="Arial" w:cs="Arial" w:eastAsia="Arial" w:hAnsi="Arial"/>
          <w:sz w:val="18"/>
          <w:szCs w:val="18"/>
          <w:color w:val="auto"/>
        </w:rPr>
        <w:t>significant impact on our product candidate development; however we cannot at this time predict the specific extent, duration, or full impact that the COVID-19 pandemic could potentially have on our ongoing business plan, financial condition and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Expense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research and development expense consists of expenses incurred in connection with the discovery and development of our product candidates.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expenses include:</w:t>
      </w:r>
    </w:p>
    <w:p>
      <w:pPr>
        <w:spacing w:after="0" w:line="101" w:lineRule="exact"/>
        <w:rPr>
          <w:sz w:val="20"/>
          <w:szCs w:val="20"/>
          <w:color w:val="auto"/>
        </w:rPr>
      </w:pPr>
    </w:p>
    <w:p>
      <w:pPr>
        <w:ind w:left="102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investigative sites and consultants that conduct our preclinical studies and clinical trials;</w:t>
      </w:r>
    </w:p>
    <w:p>
      <w:pPr>
        <w:spacing w:after="0" w:line="62" w:lineRule="exact"/>
        <w:rPr>
          <w:rFonts w:ascii="Arial" w:cs="Arial" w:eastAsia="Arial" w:hAnsi="Arial"/>
          <w:sz w:val="18"/>
          <w:szCs w:val="18"/>
          <w:color w:val="auto"/>
        </w:rPr>
      </w:pPr>
    </w:p>
    <w:p>
      <w:pPr>
        <w:ind w:left="1020" w:right="20" w:hanging="503"/>
        <w:spacing w:after="0" w:line="25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including the potential cost of contract manufacturing organizations, or CMOs, that manufacture product for use in our preclinical studies and planned clinical trials and perform analytical testing, scale-up and other services in connection with our development activities;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outsourced professional scientific development services;</w:t>
      </w:r>
    </w:p>
    <w:p>
      <w:pPr>
        <w:spacing w:after="0" w:line="103" w:lineRule="exact"/>
        <w:rPr>
          <w:rFonts w:ascii="Arial" w:cs="Arial" w:eastAsia="Arial" w:hAnsi="Arial"/>
          <w:sz w:val="18"/>
          <w:szCs w:val="18"/>
          <w:color w:val="auto"/>
        </w:rPr>
      </w:pPr>
    </w:p>
    <w:p>
      <w:pPr>
        <w:ind w:left="1020" w:right="88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for employees engaged in the research and development function;</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for maintaining licenses and other amounts due under our third party licensing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laboratory materials and supplies used to support our research activities;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w:t>
      </w:r>
    </w:p>
    <w:p>
      <w:pPr>
        <w:spacing w:after="0" w:line="212"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w:t>
      </w:r>
    </w:p>
    <w:p>
      <w:pPr>
        <w:spacing w:after="0" w:line="175"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Our direct external research and development expenses consist primarily of external costs, such as fees paid to CROs, CMOs, research/testing laboratories and outside consultants in connection with our preclinical development, process development, manufacturing and clinical development activities. We do not allocate these costs to specific product candidates because many of them are deployed across several of our development programs and, as such, are not separately classified. We use internal resources primarily to conduct research and manage our preclinical development, outsourced clinical trials, process development, manufacturing and clinical development activities. These employees work across multiple development programs and, therefore, we do not track their costs by program and, as such, are not separately classified. 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preclinical studies and planned clinical trials, and prepare regulatory filings for our product candidates.</w:t>
      </w:r>
    </w:p>
    <w:p>
      <w:pPr>
        <w:spacing w:after="0" w:line="180" w:lineRule="exact"/>
        <w:rPr>
          <w:sz w:val="20"/>
          <w:szCs w:val="20"/>
          <w:color w:val="auto"/>
        </w:rPr>
      </w:pPr>
    </w:p>
    <w:p>
      <w:pPr>
        <w:jc w:val="both"/>
        <w:ind w:right="120" w:firstLine="509"/>
        <w:spacing w:after="0" w:line="24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any of our other product candidates. This uncertainty is due to the numerous risks and uncertainties associated with the duration and cost of clinical trials, which vary significantly over the life of a project as a result of many factors, including:</w:t>
      </w:r>
    </w:p>
    <w:p>
      <w:pPr>
        <w:spacing w:after="0" w:line="86" w:lineRule="exact"/>
        <w:rPr>
          <w:sz w:val="20"/>
          <w:szCs w:val="20"/>
          <w:color w:val="auto"/>
        </w:rPr>
      </w:pPr>
    </w:p>
    <w:p>
      <w:pPr>
        <w:ind w:left="1020" w:right="26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studies, our current product candidates and any other product candidates we may acquire or develop;</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of our product candidates or making arrangements with potential third-party manufacturers for both clinical and commercial supplies of these product candidates;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duration and completion of clinical trials;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0" w:name="page21"/>
    <w:bookmarkEnd w:id="20"/>
    <w:p>
      <w:pPr>
        <w:ind w:left="1020" w:right="28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gaining regulatory approvals for our product candidates, subject to the successful outcome of ongoing and future clinical trials; and</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1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Our expenditures are subject to additional uncertainties, including the terms and timing of regulatory approvals, and the expense of filing,</w:t>
      </w:r>
    </w:p>
    <w:p>
      <w:pPr>
        <w:spacing w:after="0" w:line="23"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prosecuting, defending and enforcing any patent claims or other intellectual property rights. We may never succeed in achieving regulatory approval for any of our product candidates. We may obtain unexpected results from our planned clinical trials. We may elect to discontinue, delay or modify clinical trials of some product candidates or focus on others.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planned clinical trials, we could be required to expend significant additional financial resources and time on the completion of clinical development. Product commercialization will take several years and significant additional development costs.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w:t>
      </w:r>
    </w:p>
    <w:p>
      <w:pPr>
        <w:spacing w:after="0" w:line="104" w:lineRule="exact"/>
        <w:rPr>
          <w:sz w:val="20"/>
          <w:szCs w:val="20"/>
          <w:color w:val="auto"/>
        </w:rPr>
      </w:pPr>
    </w:p>
    <w:p>
      <w:pPr>
        <w:ind w:right="100" w:firstLine="509"/>
        <w:spacing w:after="0" w:line="278" w:lineRule="auto"/>
        <w:rPr>
          <w:sz w:val="20"/>
          <w:szCs w:val="20"/>
          <w:color w:val="auto"/>
        </w:rPr>
      </w:pPr>
      <w:r>
        <w:rPr>
          <w:rFonts w:ascii="Arial" w:cs="Arial" w:eastAsia="Arial" w:hAnsi="Arial"/>
          <w:sz w:val="17"/>
          <w:szCs w:val="17"/>
          <w:color w:val="auto"/>
        </w:rPr>
        <w:t>General and administrative expenses consist principally of salaries and related costs for personnel in executive, administrative, finance and legal functions, including stock-based compensation, travel expenses and recruiting expenses. Other general and administrative expenses include facility related costs, patent filing and prosecution costs and professional fees for legal, auditing and tax services, and insurance costs.</w:t>
      </w:r>
    </w:p>
    <w:p>
      <w:pPr>
        <w:spacing w:after="0" w:line="158" w:lineRule="exact"/>
        <w:rPr>
          <w:sz w:val="20"/>
          <w:szCs w:val="20"/>
          <w:color w:val="auto"/>
        </w:rPr>
      </w:pPr>
    </w:p>
    <w:p>
      <w:pPr>
        <w:ind w:right="460" w:firstLine="509"/>
        <w:spacing w:after="0" w:line="278" w:lineRule="auto"/>
        <w:rPr>
          <w:sz w:val="20"/>
          <w:szCs w:val="20"/>
          <w:color w:val="auto"/>
        </w:rPr>
      </w:pPr>
      <w:r>
        <w:rPr>
          <w:rFonts w:ascii="Arial" w:cs="Arial" w:eastAsia="Arial" w:hAnsi="Arial"/>
          <w:sz w:val="17"/>
          <w:szCs w:val="17"/>
          <w:color w:val="auto"/>
        </w:rPr>
        <w:t>We anticipate that our general and administrative expenses will increase as a result of increased payroll, expanded infrastructure and higher consulting, legal and tax-related services associated with maintaining compliance with Nasdaq listing and SEC requirements, accounting and investor relations costs, and director and officer insurance premiums associated with being a public company.</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Income (Expense)</w:t>
      </w:r>
    </w:p>
    <w:p>
      <w:pPr>
        <w:spacing w:after="0" w:line="104"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Our other income (expense) consists of realized gain or loss on short-term investments, gain on debt extinguishments, accretion expense on short-term investments and interest expense.</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jc w:val="both"/>
        <w:ind w:right="480" w:firstLine="509"/>
        <w:spacing w:after="0" w:line="256" w:lineRule="auto"/>
        <w:rPr>
          <w:sz w:val="20"/>
          <w:szCs w:val="20"/>
          <w:color w:val="auto"/>
        </w:rPr>
      </w:pPr>
      <w:r>
        <w:rPr>
          <w:rFonts w:ascii="Arial" w:cs="Arial" w:eastAsia="Arial" w:hAnsi="Arial"/>
          <w:sz w:val="18"/>
          <w:szCs w:val="18"/>
          <w:color w:val="auto"/>
        </w:rPr>
        <w:t>Since our inception, we have not recorded any income tax benefits for the net losses we have incurred or for the research and development tax credits earned in each year, as we believe, based upon the weight of available evidence, that it is more likely than not that all of our net operating loss carryforwards and tax credit carryforwards will not be realized.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our results of operations for the three months ended September 30, 2022 and 2021: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Change</w:t>
            </w:r>
          </w:p>
        </w:tc>
      </w:tr>
      <w:tr>
        <w:trPr>
          <w:trHeight w:val="209"/>
        </w:trPr>
        <w:tc>
          <w:tcPr>
            <w:tcW w:w="6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18"/>
                <w:szCs w:val="18"/>
                <w:color w:val="auto"/>
              </w:rPr>
            </w:pPr>
          </w:p>
        </w:tc>
      </w:tr>
      <w:tr>
        <w:trPr>
          <w:trHeight w:val="216"/>
        </w:trPr>
        <w:tc>
          <w:tcPr>
            <w:tcW w:w="6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4,751</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3,873</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FF0FC"/>
          </w:tcPr>
          <w:p>
            <w:pPr>
              <w:spacing w:after="0"/>
              <w:rPr>
                <w:sz w:val="18"/>
                <w:szCs w:val="18"/>
                <w:color w:val="auto"/>
              </w:rPr>
            </w:pPr>
          </w:p>
        </w:tc>
      </w:tr>
      <w:tr>
        <w:trPr>
          <w:trHeight w:val="21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18"/>
                <w:szCs w:val="18"/>
                <w:color w:val="auto"/>
              </w:rPr>
            </w:pPr>
          </w:p>
        </w:tc>
      </w:tr>
      <w:tr>
        <w:trPr>
          <w:trHeight w:val="210"/>
        </w:trPr>
        <w:tc>
          <w:tcPr>
            <w:tcW w:w="6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Total other income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(106 )</w:t>
            </w:r>
          </w:p>
        </w:tc>
      </w:tr>
      <w:tr>
        <w:trPr>
          <w:trHeight w:val="250"/>
        </w:trPr>
        <w:tc>
          <w:tcPr>
            <w:tcW w:w="6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-612140</wp:posOffset>
            </wp:positionV>
            <wp:extent cx="2091055"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91055" cy="17970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Research and development expenses were $9.2 million for the three months ended September 30, 2022, compared to $6.4 million for the three months ended September 30, 2021. The increase of $2.7 million was primarily attributable to $2.1 million of increased expenses relating to manufacturing contracts, $1.2 million of higher preclinical contract research and $0.5 million related to higher external research fees, partially offset by a $0.8 million lower expense associated with clinical trials, $0.1 million decrease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1" w:name="page22"/>
    <w:bookmarkEnd w:id="21"/>
    <w:p>
      <w:pPr>
        <w:ind w:right="360"/>
        <w:spacing w:after="0" w:line="277" w:lineRule="auto"/>
        <w:rPr>
          <w:sz w:val="20"/>
          <w:szCs w:val="20"/>
          <w:color w:val="auto"/>
        </w:rPr>
      </w:pPr>
      <w:r>
        <w:rPr>
          <w:rFonts w:ascii="Arial" w:cs="Arial" w:eastAsia="Arial" w:hAnsi="Arial"/>
          <w:sz w:val="18"/>
          <w:szCs w:val="18"/>
          <w:color w:val="auto"/>
        </w:rPr>
        <w:t>lab supply purchases and equipment, $0.1 million in lower personnel cost, including stock-based compensation and incentives, to support our research, development and manufacturing activities, and $0.1 million less expense for licensing agreements.</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General and administrative expenses were $4.8 million for the three months ended September 30, 2022, compared to $3.9 million for the three months ended September 30, 2021. The increase of $0.9 million was primarily attributable to $0.5 million relating to higher external professional fees, $0.1 million of increased personnel cost, including stock-based compensation and incentives and $0.1 million higher franchise, net worth, and other non-income tax expense.</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Income</w:t>
      </w:r>
    </w:p>
    <w:p>
      <w:pPr>
        <w:spacing w:after="0" w:line="104"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Other income was $0.5 million for the three months ended September 30, 2022, compared to other income of $0.6 million for the three months ended September 30, 2021. The other income decrease of $0.1 million was primarily attributable to a $0.6 million gain on debt extinguishment relating to the Small Business Administration, or SBA, approving the forgiveness for the full amount of the Paycheck Protection Program loan, or PPP Loan, in 2021, primarily offset by $0.5 million of higher investment related interest income in 2022.</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our results of operations for the nine months ended September 30,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7"/>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Change</w:t>
            </w:r>
          </w:p>
        </w:tc>
      </w:tr>
      <w:tr>
        <w:trPr>
          <w:trHeight w:val="210"/>
        </w:trPr>
        <w:tc>
          <w:tcPr>
            <w:tcW w:w="6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23,038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7,332</w:t>
            </w:r>
          </w:p>
        </w:tc>
        <w:tc>
          <w:tcPr>
            <w:tcW w:w="100" w:type="dxa"/>
            <w:vAlign w:val="bottom"/>
          </w:tcPr>
          <w:p>
            <w:pPr>
              <w:spacing w:after="0"/>
              <w:rPr>
                <w:sz w:val="18"/>
                <w:szCs w:val="18"/>
                <w:color w:val="auto"/>
              </w:rPr>
            </w:pPr>
          </w:p>
        </w:tc>
      </w:tr>
      <w:tr>
        <w:trPr>
          <w:trHeight w:val="216"/>
        </w:trPr>
        <w:tc>
          <w:tcPr>
            <w:tcW w:w="6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14,102</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12,363</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FF0FC"/>
          </w:tcPr>
          <w:p>
            <w:pPr>
              <w:spacing w:after="0"/>
              <w:rPr>
                <w:sz w:val="18"/>
                <w:szCs w:val="18"/>
                <w:color w:val="auto"/>
              </w:rPr>
            </w:pPr>
          </w:p>
        </w:tc>
      </w:tr>
      <w:tr>
        <w:trPr>
          <w:trHeight w:val="20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18"/>
                <w:szCs w:val="18"/>
                <w:color w:val="auto"/>
              </w:rPr>
            </w:pPr>
          </w:p>
        </w:tc>
      </w:tr>
      <w:tr>
        <w:trPr>
          <w:trHeight w:val="210"/>
        </w:trPr>
        <w:tc>
          <w:tcPr>
            <w:tcW w:w="6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Total other income</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r>
      <w:tr>
        <w:trPr>
          <w:trHeight w:val="249"/>
        </w:trPr>
        <w:tc>
          <w:tcPr>
            <w:tcW w:w="6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-612140</wp:posOffset>
            </wp:positionV>
            <wp:extent cx="2091055"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91055" cy="17970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120" w:firstLine="509"/>
        <w:spacing w:after="0" w:line="283" w:lineRule="auto"/>
        <w:rPr>
          <w:sz w:val="20"/>
          <w:szCs w:val="20"/>
          <w:color w:val="auto"/>
        </w:rPr>
      </w:pPr>
      <w:r>
        <w:rPr>
          <w:rFonts w:ascii="Arial" w:cs="Arial" w:eastAsia="Arial" w:hAnsi="Arial"/>
          <w:sz w:val="16"/>
          <w:szCs w:val="16"/>
          <w:color w:val="auto"/>
        </w:rPr>
        <w:t>Research and development expenses were $23.0 million for the nine months ended September 30, 2022, compared to $15.7 million for the nine months ended September 30, 2021. The increase of $7.3 million was primarily attributable to $4.4 million of increased expenses relating to manufacturing contracts, $1.6 million of higher preclinical contract research, $1.4 million more expense relating to lab supplies and equipment purchases, $1.3 million of increased personnel cost, including stock-based compensation and incentives, to support our research, development and manufacturing activities, $0.9 million of increased external research fees and $0.3 million of higher facilities expense and equipment, partially offset by $1.6 million less expense associated with clinical trials, $0.9 million of lower consulting fees and $0.2 million less expense for licensing agreements.</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40" w:firstLine="509"/>
        <w:spacing w:after="0" w:line="284" w:lineRule="auto"/>
        <w:rPr>
          <w:sz w:val="20"/>
          <w:szCs w:val="20"/>
          <w:color w:val="auto"/>
        </w:rPr>
      </w:pPr>
      <w:r>
        <w:rPr>
          <w:rFonts w:ascii="Arial" w:cs="Arial" w:eastAsia="Arial" w:hAnsi="Arial"/>
          <w:sz w:val="16"/>
          <w:szCs w:val="16"/>
          <w:color w:val="auto"/>
        </w:rPr>
        <w:t>General and administrative expenses were $14.1 million for the nine months ended September 30, 2022, compared to $12.4 million for the nine months ended September 30, 2021. The increase of $1.7 million was primarily attributable to $0.7 million of higher franchise, net worth, and other non-income tax expense, $0.3 million of increased directors and officers insurance costs, $0.3 million of higher facilities expense, $0.3 million of increased external professional fees, $0.2 million increase relating to board fees and $0.1 million of increased personnel cost, including stock-based compensation.</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Income</w:t>
      </w:r>
    </w:p>
    <w:p>
      <w:pPr>
        <w:spacing w:after="0" w:line="104"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Other income was $0.8 million for the nine months ended September 30, 2022, compared to other income of $0.6 million for the nine months ended September 30, 2021. The other income increase of $0.1 million was primarily attributable to $0.8 million of higher investment related interest income, primarily offset by $0.6 million gain on debt extinguishment relating to the SBA approving the forgiveness for the full amount of the PPP Loan in 2021 and $0.1 million of higher interest expense for finance leases.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i w:val="1"/>
          <w:iCs w:val="1"/>
          <w:color w:val="auto"/>
        </w:rPr>
        <w:t>Sources of Liquidity</w:t>
      </w:r>
    </w:p>
    <w:p>
      <w:pPr>
        <w:spacing w:after="0" w:line="117"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We have not generated any product revenue and have incurred net losses and negative cash flows from our operations. We have financed our operations through sales of our common stock, convertible preferred stock and convertible debt. Through the date of this report, we have raised an aggregate of $123.4 million of gross proceeds from private placements of our equity and convertible debt securities and net proceeds of $138.5 million from our IPO in February 2021. Our net loss was $36.4 million and $27.4 million for the nine months ended September 30, 2022 and 2021, respectively. As of September 30, 2022, we had an accumulated deficit of $185.6 million. Our primary use of cash is to fund operating expenses, which consist primarily of research and development expenditures, and to a lesser extent, general and administrative expenditures.</w:t>
      </w:r>
    </w:p>
    <w:p>
      <w:pPr>
        <w:spacing w:after="0" w:line="187"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As of September 30, 2022, we had cash, cash equivalents and marketable securities of $116.6 million. From December 2020 to January 2021, we issued and sold 165,956,208 shares of Series BB convertible preferred stock to a group of investors, in exchange for $34.4 million of new gross proceeds, of which approximately $23.5 million was received in January 2021. In February 2021, we issued an aggregate of 8,030,295 shares of common stock in our IPO at a price to the public of $19.00 per share, for aggregate gross proceeds of $152.6 million. We paid underwriting discounts and commissions of $10.7 million, and we also incurred expenses of $3.4 million in connection with the offering. As a result, the net offering proceeds to us, after deducting underwriting discounts and commissions and offering expenses, were $138.5 million.</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1280" w:type="dxa"/>
            <w:vAlign w:val="bottom"/>
          </w:tcPr>
          <w:p>
            <w:pPr>
              <w:jc w:val="right"/>
              <w:ind w:right="63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209"/>
        </w:trPr>
        <w:tc>
          <w:tcPr>
            <w:tcW w:w="75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(29,452 )</w:t>
            </w:r>
          </w:p>
        </w:tc>
        <w:tc>
          <w:tcPr>
            <w:tcW w:w="1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(22,391 )</w:t>
            </w:r>
          </w:p>
        </w:tc>
      </w:tr>
      <w:tr>
        <w:trPr>
          <w:trHeight w:val="216"/>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18"/>
                <w:szCs w:val="18"/>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33,906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(148,730 )</w:t>
            </w:r>
          </w:p>
        </w:tc>
      </w:tr>
      <w:tr>
        <w:trPr>
          <w:trHeight w:val="216"/>
        </w:trPr>
        <w:tc>
          <w:tcPr>
            <w:tcW w:w="7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(163 )</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164,058</w:t>
            </w:r>
          </w:p>
        </w:tc>
      </w:tr>
      <w:tr>
        <w:trPr>
          <w:trHeight w:val="21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4,291</w:t>
            </w: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(7,063 )</w:t>
            </w:r>
          </w:p>
        </w:tc>
      </w:tr>
      <w:tr>
        <w:trPr>
          <w:trHeight w:val="20"/>
        </w:trPr>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0287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During the nine months ended September 30, 2022, our operating activities used $29.5 million of cash, primarily resulting from our $36.4 million net loss partially offset by increases in non-cash charges of $6.6 million, primarily related to $4.4 million of stock compensation expense and $0.9 million of non-cash lease expense, and a $0.4 million increase in our operating assets and liabilities. During the nine months ended September 30, 2021, our operating activities used $22.4 million of cash, primarily resulting from our $27.4 million net loss, partially offset by increases in non-cash charges of $5.0 million primarily related to stock compensation expense of $4.8 million.</w:t>
      </w:r>
    </w:p>
    <w:p>
      <w:pPr>
        <w:spacing w:after="0" w:line="30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During the nine months ended September 30, 2022, net cash provided by investing activities was $33.9 million, primarily due to $99.2 million in sales and maturities of short-term investments, partially offset by $65 million in purchases of short-term investments and $0.3 million in purchases of property and equipment. During the nine months ended September 30, 2021, net cash used in investing activities was $148.7 million primarily related to $173.8 million for purchases of short-term investments using the net proceeds of our IPO and Series AA and Series BB convertible preferred stock financings and $1.5 million for purchases of property and equipment, partially offset by $26.3 million in sales and maturities of short-term investments and $0.3 million from proceeds of property and equipment disposals.</w:t>
      </w:r>
    </w:p>
    <w:p>
      <w:pPr>
        <w:spacing w:after="0" w:line="30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During the nine months ended September 30, 2022, net cash used in financing activities was $0.2 million, primarily from $0.5 million of principal payments under our financing leases, offset by $0.2 million of proceeds from the exercise of stock options and $0.1 million relating to ESPP purchases. During the nine months ended September 30, 2021, net cash provided by financing activities was $164.1 million, primarily from the net proceeds from the issuance of common stock as part of our IPO of $140.6 million, as well as proceeds from the issuance of Series BB convertible preferred stock prior to the initial public offering of $23.5 million.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Our material cash requirements will have an impact on our future liquidity. Our material cash requirements represent material expected or contractually committed future payment obligations. We believe that we will be able to fund these obligations through cash from our existing balances of cash, cash equivalents and marketable securities.</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Leases</w:t>
      </w:r>
    </w:p>
    <w:p>
      <w:pPr>
        <w:spacing w:after="0" w:line="104" w:lineRule="exact"/>
        <w:rPr>
          <w:sz w:val="20"/>
          <w:szCs w:val="20"/>
          <w:color w:val="auto"/>
        </w:rPr>
      </w:pPr>
    </w:p>
    <w:p>
      <w:pPr>
        <w:ind w:right="280" w:firstLine="509"/>
        <w:spacing w:after="0" w:line="249" w:lineRule="auto"/>
        <w:rPr>
          <w:sz w:val="20"/>
          <w:szCs w:val="20"/>
          <w:color w:val="auto"/>
        </w:rPr>
      </w:pPr>
      <w:r>
        <w:rPr>
          <w:rFonts w:ascii="Arial" w:cs="Arial" w:eastAsia="Arial" w:hAnsi="Arial"/>
          <w:sz w:val="18"/>
          <w:szCs w:val="18"/>
          <w:color w:val="auto"/>
        </w:rPr>
        <w:t>We have operating lease arrangements for our corporate offices, lab facilities and an executive residence. As part of its adoption of ASC 842, we recorded operating right-of-use assets and operating lease liabilities for these leases as of January 1, 2022. As of September 30, 2022, we had operating lease payment obligations of $6.8 million, with $0.4 million payable for the remainder of 2022. See Note 7 in our condensed consolidated financial statements included elsewhere in this Form 10-Q for additional information.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Finance Leases</w:t>
      </w:r>
    </w:p>
    <w:p>
      <w:pPr>
        <w:spacing w:after="0" w:line="104" w:lineRule="exact"/>
        <w:rPr>
          <w:sz w:val="20"/>
          <w:szCs w:val="20"/>
          <w:color w:val="auto"/>
        </w:rPr>
      </w:pPr>
    </w:p>
    <w:p>
      <w:pPr>
        <w:ind w:right="200" w:firstLine="509"/>
        <w:spacing w:after="0" w:line="249" w:lineRule="auto"/>
        <w:rPr>
          <w:sz w:val="20"/>
          <w:szCs w:val="20"/>
          <w:color w:val="auto"/>
        </w:rPr>
      </w:pPr>
      <w:r>
        <w:rPr>
          <w:rFonts w:ascii="Arial" w:cs="Arial" w:eastAsia="Arial" w:hAnsi="Arial"/>
          <w:sz w:val="18"/>
          <w:szCs w:val="18"/>
          <w:color w:val="auto"/>
        </w:rPr>
        <w:t>We lease research equipment, furniture and a vehicle under finance leases. As part of its adoption of ASC 842, we recorded financing right-of-use assets and financing lease liabilities for these leases as of January 1, 2022. As of September 30, 2022, we had finance lease payment obligations of $2.6 million, with $0.2 million payable for the remainder of 2022. See Note 7 in our financial statements included elsewhere in this Form 10-Q for additional information.</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or initiate clinical trials of, and potentially seek marketing approval for, our product candidates. In addition, we expect to continue to incur significant costs associated with operating as a newly public company, including significant legal, accounting, investor relations and other expenses that we did not incur as a private company. The timing and amount of our operating expenditures will depend largely on:</w:t>
      </w:r>
    </w:p>
    <w:p>
      <w:pPr>
        <w:spacing w:after="0" w:line="58" w:lineRule="exact"/>
        <w:rPr>
          <w:sz w:val="20"/>
          <w:szCs w:val="20"/>
          <w:color w:val="auto"/>
        </w:rPr>
      </w:pPr>
    </w:p>
    <w:p>
      <w:pPr>
        <w:ind w:left="1020" w:right="1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current and future preclinical studies and clinical trials for our current and future product candidates;</w:t>
      </w:r>
    </w:p>
    <w:p>
      <w:pPr>
        <w:spacing w:after="0" w:line="48"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the manufacture of additional clinical trial material as well as any costs related to the scale-up of manufacturing activities;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to seek regulatory approvals for any product candidates that successfully complete clinical trials;</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or any third-party service providers on whom we rely experience delays or interruptions to preclinical studies and clinical trials, or to our supply chain due to the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need to hire additional clinical, quality assurance, quality control and other scientific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timing and cost of meeting and maintaining compliance with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17" w:lineRule="exact"/>
        <w:rPr>
          <w:rFonts w:ascii="Arial" w:cs="Arial" w:eastAsia="Arial" w:hAnsi="Arial"/>
          <w:sz w:val="18"/>
          <w:szCs w:val="18"/>
          <w:color w:val="auto"/>
        </w:rPr>
      </w:pPr>
    </w:p>
    <w:p>
      <w:pPr>
        <w:ind w:left="1020" w:right="460" w:hanging="503"/>
        <w:spacing w:after="0" w:line="291"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terms of any collaboration agreements we may choose to enter into, including the achievement of milestones or occurrence of other developments that trigger payments under any license or collaboration agreements we might have at such time;</w:t>
      </w:r>
    </w:p>
    <w:p>
      <w:pPr>
        <w:spacing w:after="0" w:line="38" w:lineRule="exact"/>
        <w:rPr>
          <w:rFonts w:ascii="Arial" w:cs="Arial" w:eastAsia="Arial" w:hAnsi="Arial"/>
          <w:sz w:val="17"/>
          <w:szCs w:val="17"/>
          <w:color w:val="auto"/>
        </w:rPr>
      </w:pPr>
    </w:p>
    <w:p>
      <w:pPr>
        <w:ind w:left="1020" w:right="4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associated with the expansion of our operational, financial and management systems and increased personnel, including personnel to support our operations as a public company; and</w:t>
      </w:r>
    </w:p>
    <w:p>
      <w:pPr>
        <w:spacing w:after="0" w:line="48"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if approved, on our own.</w:t>
      </w:r>
    </w:p>
    <w:p>
      <w:pPr>
        <w:spacing w:after="0" w:line="18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expect our existing cash and cash equivalents will enable us to fund our operating expenses and capital expenditure requirements at least into the first quarter of 2025. We have based this estimate on assumptions that may prove to be wrong, and we may use our available capital resources sooner than we currently expect. Our future capital requirements will depend on many factors, including:</w:t>
      </w:r>
    </w:p>
    <w:p>
      <w:pPr>
        <w:spacing w:after="0" w:line="87"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4" w:name="page25"/>
    <w:bookmarkEnd w:id="24"/>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extent to which we are obligated to reimburse, or entitled to reimbursement of, clinical trial costs under collaboration agreements, if any;</w:t>
      </w:r>
    </w:p>
    <w:p>
      <w:pPr>
        <w:spacing w:after="0" w:line="126" w:lineRule="exact"/>
        <w:rPr>
          <w:rFonts w:ascii="Arial" w:cs="Arial" w:eastAsia="Arial" w:hAnsi="Arial"/>
          <w:sz w:val="16"/>
          <w:szCs w:val="16"/>
          <w:color w:val="auto"/>
        </w:rPr>
      </w:pPr>
    </w:p>
    <w:p>
      <w:pPr>
        <w:ind w:left="1020" w:right="26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w:t>
      </w:r>
    </w:p>
    <w:p>
      <w:pPr>
        <w:spacing w:after="0" w:line="117"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COVID-19 pandemic and the corresponding responses of businesses and governments.</w:t>
      </w:r>
    </w:p>
    <w:p>
      <w:pPr>
        <w:spacing w:after="0" w:line="212"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limiting or restricting our ability to take specific actions, such as incurring additional debt, making capital expenditures or declaring dividends. In addition, debt financing would result in fixed payment obligations.</w:t>
      </w:r>
    </w:p>
    <w:p>
      <w:pPr>
        <w:spacing w:after="0" w:line="201" w:lineRule="exact"/>
        <w:rPr>
          <w:sz w:val="20"/>
          <w:szCs w:val="20"/>
          <w:color w:val="auto"/>
        </w:rPr>
      </w:pPr>
    </w:p>
    <w:p>
      <w:pPr>
        <w:ind w:right="220" w:firstLine="509"/>
        <w:spacing w:after="0" w:line="263"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U.S. Securities and Exchange Commission.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08"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This Management’s Discussion and Analysis of Financial Condition and Results of Operations is based on our financial statements, which are prepared in accordance with US GAAP. The preparation of our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w:t>
      </w:r>
    </w:p>
    <w:p>
      <w:pPr>
        <w:spacing w:after="0" w:line="182"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During the nine months ended September 30, 2022, there were no significant changes to our critical accounting policies disclosed in our audited financial statements for the year ended December 31, 2021, which are included in our Annual Report on Form 10-K, as filed with the SEC on March 15, 2022.</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500" w:firstLine="509"/>
        <w:spacing w:after="0" w:line="278" w:lineRule="auto"/>
        <w:rPr>
          <w:sz w:val="20"/>
          <w:szCs w:val="20"/>
          <w:color w:val="auto"/>
        </w:rPr>
      </w:pPr>
      <w:r>
        <w:rPr>
          <w:rFonts w:ascii="Arial" w:cs="Arial" w:eastAsia="Arial" w:hAnsi="Arial"/>
          <w:sz w:val="17"/>
          <w:szCs w:val="17"/>
          <w:color w:val="auto"/>
        </w:rPr>
        <w:t>See Note 2 in our condensed consolidated financial statements included elsewhere in this Form 10-Q for a description of recent accounting pronouncements applicable to our financial statements. Other than as disclosed in our financial statements, we do not expect that any recently issued accounting standards will have a material impact on our financial statements or will otherwise apply to our operations.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We qualify as an EGC, as defined in the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81" w:lineRule="exact"/>
        <w:rPr>
          <w:sz w:val="20"/>
          <w:szCs w:val="20"/>
          <w:color w:val="auto"/>
        </w:rPr>
      </w:pPr>
    </w:p>
    <w:p>
      <w:pPr>
        <w:ind w:right="100" w:firstLine="509"/>
        <w:spacing w:after="0" w:line="260" w:lineRule="auto"/>
        <w:rPr>
          <w:sz w:val="20"/>
          <w:szCs w:val="20"/>
          <w:color w:val="auto"/>
        </w:rPr>
      </w:pPr>
      <w:r>
        <w:rPr>
          <w:rFonts w:ascii="Arial" w:cs="Arial" w:eastAsia="Arial" w:hAnsi="Arial"/>
          <w:sz w:val="17"/>
          <w:szCs w:val="17"/>
          <w:color w:val="auto"/>
        </w:rPr>
        <w:t>We may take advantage of these exemptions until the last day of the fiscal year following the fifth anniversary of our initial public offering or such earlier time that we are no longer an emerging growth company. We would cease to be an EGC earlier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w:t>
      </w:r>
    </w:p>
    <w:p>
      <w:pPr>
        <w:spacing w:after="0" w:line="187"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consolidated financial statements may not be directly comparable to those of other public companies.</w:t>
      </w:r>
    </w:p>
    <w:p>
      <w:pPr>
        <w:spacing w:after="0" w:line="175"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66"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We are a smaller reporting company as defined by Item 10 of Regulation S-K and are not required to provide the information otherwise required under this item.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0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or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201"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58"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September 30, 2022. Based on this evaluation, our Chief Executive Officer and Chief Financial Officer concluded that our disclosure controls and procedures were effective at the reasonable assurance level as of September 30, 2022.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jc w:val="both"/>
        <w:ind w:right="340" w:firstLine="509"/>
        <w:spacing w:after="0" w:line="256" w:lineRule="auto"/>
        <w:rPr>
          <w:sz w:val="20"/>
          <w:szCs w:val="20"/>
          <w:color w:val="auto"/>
        </w:rPr>
      </w:pPr>
      <w:r>
        <w:rPr>
          <w:rFonts w:ascii="Arial" w:cs="Arial" w:eastAsia="Arial" w:hAnsi="Arial"/>
          <w:sz w:val="18"/>
          <w:szCs w:val="18"/>
          <w:color w:val="auto"/>
        </w:rPr>
        <w:t>There were no material changes in our internal control over financial reporting (as defined in Rules 13a-15(f) and 15d-15(f) under the Exchange Act) that occurred during the three months ended September 30, 2022 which have materially affected, or are reasonably likely to materially affect, our internal control over financial reporting.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Quarterly Report on Form 10-Q.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08" w:lineRule="exact"/>
        <w:rPr>
          <w:sz w:val="20"/>
          <w:szCs w:val="20"/>
          <w:color w:val="auto"/>
        </w:rPr>
      </w:pPr>
    </w:p>
    <w:p>
      <w:pPr>
        <w:jc w:val="both"/>
        <w:ind w:right="220" w:firstLine="509"/>
        <w:spacing w:after="0" w:line="256" w:lineRule="auto"/>
        <w:rPr>
          <w:sz w:val="20"/>
          <w:szCs w:val="20"/>
          <w:color w:val="auto"/>
        </w:rPr>
      </w:pPr>
      <w:r>
        <w:rPr>
          <w:rFonts w:ascii="Arial" w:cs="Arial" w:eastAsia="Arial" w:hAnsi="Arial"/>
          <w:sz w:val="18"/>
          <w:szCs w:val="18"/>
          <w:color w:val="auto"/>
        </w:rPr>
        <w:t>The risk factors summarized below could materially harm our business, operating results, and/or financial condition, impair our future prospects, and/or cause the price of our common stock to decline. These risks are discussed more fully below. Material risks that may affect our business, financial condition, results of operations, and trading price of our common stock include the following:</w:t>
      </w:r>
    </w:p>
    <w:p>
      <w:pPr>
        <w:spacing w:after="0" w:line="67" w:lineRule="exact"/>
        <w:rPr>
          <w:sz w:val="20"/>
          <w:szCs w:val="20"/>
          <w:color w:val="auto"/>
        </w:rPr>
      </w:pPr>
    </w:p>
    <w:p>
      <w:pPr>
        <w:ind w:left="520" w:hanging="257"/>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our Financial Position</w:t>
      </w:r>
    </w:p>
    <w:p>
      <w:pPr>
        <w:spacing w:after="0" w:line="117" w:lineRule="exact"/>
        <w:rPr>
          <w:rFonts w:ascii="Arial" w:cs="Arial" w:eastAsia="Arial" w:hAnsi="Arial"/>
          <w:sz w:val="18"/>
          <w:szCs w:val="18"/>
          <w:color w:val="auto"/>
        </w:rPr>
      </w:pPr>
    </w:p>
    <w:p>
      <w:pPr>
        <w:ind w:left="1020" w:right="420" w:hanging="503"/>
        <w:spacing w:after="0" w:line="291" w:lineRule="auto"/>
        <w:tabs>
          <w:tab w:leader="none" w:pos="10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We will need additional funding to complete the development of our product candidates. A failure to obtain this necessary capital when needed could force us to delay, limit, reduce or terminate our product development or commercialization efforts.</w:t>
      </w:r>
    </w:p>
    <w:p>
      <w:pPr>
        <w:spacing w:after="0" w:line="38" w:lineRule="exact"/>
        <w:rPr>
          <w:rFonts w:ascii="Arial" w:cs="Arial" w:eastAsia="Arial" w:hAnsi="Arial"/>
          <w:sz w:val="17"/>
          <w:szCs w:val="17"/>
          <w:color w:val="auto"/>
        </w:rPr>
      </w:pPr>
    </w:p>
    <w:p>
      <w:pPr>
        <w:ind w:left="1020" w:right="180" w:hanging="503"/>
        <w:spacing w:after="0" w:line="277"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have incurred significant losses in every year since our inception. We expect to continue to incur losses over the next several years and may never achieve or maintain profitability.</w:t>
      </w:r>
    </w:p>
    <w:p>
      <w:pPr>
        <w:spacing w:after="0" w:line="48" w:lineRule="exact"/>
        <w:rPr>
          <w:rFonts w:ascii="Arial" w:cs="Arial" w:eastAsia="Arial" w:hAnsi="Arial"/>
          <w:sz w:val="18"/>
          <w:szCs w:val="18"/>
          <w:color w:val="auto"/>
        </w:rPr>
      </w:pPr>
    </w:p>
    <w:p>
      <w:pPr>
        <w:ind w:left="520" w:hanging="257"/>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the Development of our Product Candidates</w:t>
      </w:r>
    </w:p>
    <w:p>
      <w:pPr>
        <w:spacing w:after="0" w:line="103" w:lineRule="exact"/>
        <w:rPr>
          <w:rFonts w:ascii="Arial" w:cs="Arial" w:eastAsia="Arial" w:hAnsi="Arial"/>
          <w:sz w:val="18"/>
          <w:szCs w:val="18"/>
          <w:color w:val="auto"/>
        </w:rPr>
      </w:pPr>
    </w:p>
    <w:p>
      <w:pPr>
        <w:ind w:left="1020" w:right="40" w:hanging="503"/>
        <w:spacing w:after="0" w:line="256"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Although we plan to submit an IND for SNS-101 in the first half of 2023, 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66" w:lineRule="exact"/>
        <w:rPr>
          <w:rFonts w:ascii="Arial" w:cs="Arial" w:eastAsia="Arial" w:hAnsi="Arial"/>
          <w:sz w:val="18"/>
          <w:szCs w:val="18"/>
          <w:color w:val="auto"/>
        </w:rPr>
      </w:pPr>
    </w:p>
    <w:p>
      <w:pPr>
        <w:ind w:left="1020" w:hanging="503"/>
        <w:spacing w:after="0" w:line="283" w:lineRule="auto"/>
        <w:tabs>
          <w:tab w:leader="none" w:pos="10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Our business is highly dependent on the success of our product candidates that we advance into the clinic. All of our product candidates may require significant additional preclinical, clinical and manufacturing development before we may be able to seek regulatory approval for and launch a product commercially. 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62" w:lineRule="exact"/>
        <w:rPr>
          <w:rFonts w:ascii="Arial" w:cs="Arial" w:eastAsia="Arial" w:hAnsi="Arial"/>
          <w:sz w:val="16"/>
          <w:szCs w:val="16"/>
          <w:color w:val="auto"/>
        </w:rPr>
      </w:pPr>
    </w:p>
    <w:p>
      <w:pPr>
        <w:ind w:left="1020" w:right="500" w:hanging="503"/>
        <w:spacing w:after="0" w:line="249"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business, operations and clinical development plans and timelines, as well as the manufacturing, clinical trial and other business activities performed by us or by third parties with whom we conduct business, including our contract manufacturers, contract research organizations, shippers, equipment suppliers and others, could be adversely affected by the effects of health epidemics, including the COVID-19 pandemic.</w:t>
      </w:r>
    </w:p>
    <w:p>
      <w:pPr>
        <w:spacing w:after="0" w:line="7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Interim data from our planned clinical trials that we announce or publish from time to time may change as more patients are enrolled and additional data become available.</w:t>
      </w:r>
    </w:p>
    <w:p>
      <w:pPr>
        <w:spacing w:after="0" w:line="76" w:lineRule="exact"/>
        <w:rPr>
          <w:rFonts w:ascii="Arial" w:cs="Arial" w:eastAsia="Arial" w:hAnsi="Arial"/>
          <w:sz w:val="18"/>
          <w:szCs w:val="18"/>
          <w:color w:val="auto"/>
        </w:rPr>
      </w:pPr>
    </w:p>
    <w:p>
      <w:pPr>
        <w:jc w:val="both"/>
        <w:ind w:left="1020" w:right="640" w:hanging="503"/>
        <w:spacing w:after="0" w:line="324" w:lineRule="auto"/>
        <w:tabs>
          <w:tab w:leader="none" w:pos="10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We will depend on timely enrollment of patients in our planned clinical trials for our product candidates. If we encounter difficulties enrolling patients in our planned clinical trials, our clinical development activities could be delayed or otherwise adversely affected.</w:t>
      </w:r>
    </w:p>
    <w:p>
      <w:pPr>
        <w:spacing w:after="0" w:line="16" w:lineRule="exact"/>
        <w:rPr>
          <w:rFonts w:ascii="Arial" w:cs="Arial" w:eastAsia="Arial" w:hAnsi="Arial"/>
          <w:sz w:val="16"/>
          <w:szCs w:val="16"/>
          <w:color w:val="auto"/>
        </w:rPr>
      </w:pPr>
    </w:p>
    <w:p>
      <w:pPr>
        <w:ind w:left="1020" w:right="260" w:hanging="503"/>
        <w:spacing w:after="0" w:line="277"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Clinical trials are difficult to design and implement, can be lengthy and expensive, involve uncertain outcomes and may not ultimately be successful.</w:t>
      </w:r>
    </w:p>
    <w:p>
      <w:pPr>
        <w:spacing w:after="0" w:line="48" w:lineRule="exact"/>
        <w:rPr>
          <w:rFonts w:ascii="Arial" w:cs="Arial" w:eastAsia="Arial" w:hAnsi="Arial"/>
          <w:sz w:val="18"/>
          <w:szCs w:val="18"/>
          <w:color w:val="auto"/>
        </w:rPr>
      </w:pPr>
    </w:p>
    <w:p>
      <w:pPr>
        <w:ind w:left="520" w:hanging="257"/>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our Dependence on Third Parties</w:t>
      </w:r>
    </w:p>
    <w:p>
      <w:pPr>
        <w:spacing w:after="0" w:line="103" w:lineRule="exact"/>
        <w:rPr>
          <w:rFonts w:ascii="Arial" w:cs="Arial" w:eastAsia="Arial" w:hAnsi="Arial"/>
          <w:sz w:val="18"/>
          <w:szCs w:val="18"/>
          <w:color w:val="auto"/>
        </w:rPr>
      </w:pPr>
    </w:p>
    <w:p>
      <w:pPr>
        <w:ind w:left="1020" w:right="160" w:hanging="503"/>
        <w:spacing w:after="0" w:line="277"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collaborate with third parties in connection with the development of our product candidates, and may depend upon future collaboration partners to commit to the research, development, manufacturing and marketing of our product candidates.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28" w:name="page29"/>
    <w:bookmarkEnd w:id="28"/>
    <w:p>
      <w:pPr>
        <w:ind w:left="1020" w:right="200" w:hanging="503"/>
        <w:spacing w:after="0" w:line="256"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the preclinical and planned clinical trials for our product candidates, and those third parties may not perform satisfactorily, including failing to meet deadlines for the completion of such trials or failing to comply with applicable regulatory requirements.</w:t>
      </w:r>
    </w:p>
    <w:p>
      <w:pPr>
        <w:spacing w:after="0" w:line="66" w:lineRule="exact"/>
        <w:rPr>
          <w:rFonts w:ascii="Arial" w:cs="Arial" w:eastAsia="Arial" w:hAnsi="Arial"/>
          <w:sz w:val="18"/>
          <w:szCs w:val="18"/>
          <w:color w:val="auto"/>
        </w:rPr>
      </w:pPr>
    </w:p>
    <w:p>
      <w:pPr>
        <w:ind w:left="520" w:hanging="257"/>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Regulatory Approval of our Product Candidates and Other Legal Compliance Matters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Healthcare legislative reform measures may have a material adverse effect on our business and results of operations.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the Commercialization of our Product Candidates</w:t>
      </w:r>
    </w:p>
    <w:p>
      <w:pPr>
        <w:spacing w:after="0" w:line="103" w:lineRule="exact"/>
        <w:rPr>
          <w:rFonts w:ascii="Arial" w:cs="Arial" w:eastAsia="Arial" w:hAnsi="Arial"/>
          <w:sz w:val="18"/>
          <w:szCs w:val="18"/>
          <w:color w:val="auto"/>
        </w:rPr>
      </w:pPr>
    </w:p>
    <w:p>
      <w:pPr>
        <w:ind w:left="1020" w:right="480" w:hanging="503"/>
        <w:spacing w:after="0" w:line="342"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If we are unable to establish sales, marketing and distribution capabilities for our product candidates, or enter into sales, marketing and distribution agreements with third parties, we may not be successful in commercializing our product candidates, if approved.</w:t>
      </w:r>
    </w:p>
    <w:p>
      <w:pPr>
        <w:spacing w:after="0" w:line="2" w:lineRule="exact"/>
        <w:rPr>
          <w:rFonts w:ascii="Arial" w:cs="Arial" w:eastAsia="Arial" w:hAnsi="Arial"/>
          <w:sz w:val="16"/>
          <w:szCs w:val="16"/>
          <w:color w:val="auto"/>
        </w:rPr>
      </w:pPr>
    </w:p>
    <w:p>
      <w:pPr>
        <w:ind w:left="1020" w:right="860" w:hanging="503"/>
        <w:spacing w:after="0" w:line="261"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operate in a rapidly changing industry and face significant competition,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1020" w:right="360" w:hanging="503"/>
        <w:spacing w:after="0" w:line="277"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48" w:lineRule="exact"/>
        <w:rPr>
          <w:rFonts w:ascii="Arial" w:cs="Arial" w:eastAsia="Arial" w:hAnsi="Arial"/>
          <w:sz w:val="18"/>
          <w:szCs w:val="18"/>
          <w:color w:val="auto"/>
        </w:rPr>
      </w:pPr>
    </w:p>
    <w:p>
      <w:pPr>
        <w:ind w:left="520" w:hanging="257"/>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our Intellectual Property</w:t>
      </w:r>
    </w:p>
    <w:p>
      <w:pPr>
        <w:spacing w:after="0" w:line="103" w:lineRule="exact"/>
        <w:rPr>
          <w:rFonts w:ascii="Arial" w:cs="Arial" w:eastAsia="Arial" w:hAnsi="Arial"/>
          <w:sz w:val="18"/>
          <w:szCs w:val="18"/>
          <w:color w:val="auto"/>
        </w:rPr>
      </w:pPr>
    </w:p>
    <w:p>
      <w:pPr>
        <w:ind w:left="1020" w:hanging="503"/>
        <w:spacing w:after="0" w:line="303"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If we are unable to obtain and maintain patent protection for our technologies and product candidates, including SNS-101,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p>
    <w:p>
      <w:pPr>
        <w:spacing w:after="0" w:line="32" w:lineRule="exact"/>
        <w:rPr>
          <w:rFonts w:ascii="Arial" w:cs="Arial" w:eastAsia="Arial" w:hAnsi="Arial"/>
          <w:sz w:val="16"/>
          <w:szCs w:val="16"/>
          <w:color w:val="auto"/>
        </w:rPr>
      </w:pPr>
    </w:p>
    <w:p>
      <w:pPr>
        <w:ind w:left="1020" w:right="140" w:hanging="503"/>
        <w:spacing w:after="0" w:line="277"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their intellectual property rights, the outcome of which would be uncertain and could significantly harm our business.</w:t>
      </w:r>
    </w:p>
    <w:p>
      <w:pPr>
        <w:spacing w:after="0" w:line="48" w:lineRule="exact"/>
        <w:rPr>
          <w:rFonts w:ascii="Arial" w:cs="Arial" w:eastAsia="Arial" w:hAnsi="Arial"/>
          <w:sz w:val="18"/>
          <w:szCs w:val="18"/>
          <w:color w:val="auto"/>
        </w:rPr>
      </w:pPr>
    </w:p>
    <w:p>
      <w:pPr>
        <w:ind w:left="520" w:hanging="257"/>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our Business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will need to grow the size of our organization, and we may experience difficulties in managing this growth.</w:t>
      </w:r>
    </w:p>
    <w:p>
      <w:pPr>
        <w:spacing w:after="0" w:line="117" w:lineRule="exact"/>
        <w:rPr>
          <w:rFonts w:ascii="Arial" w:cs="Arial" w:eastAsia="Arial" w:hAnsi="Arial"/>
          <w:sz w:val="18"/>
          <w:szCs w:val="18"/>
          <w:color w:val="auto"/>
        </w:rPr>
      </w:pPr>
    </w:p>
    <w:p>
      <w:pPr>
        <w:ind w:left="1020" w:right="760" w:hanging="503"/>
        <w:spacing w:after="0" w:line="261"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members of senior management and to attract, retain and motivate qualified personnel.</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Risks Related to our Securities and our Status as a Public Company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trading price of our common stock may be volatile, and you could lose all or part of your investment.</w:t>
      </w:r>
    </w:p>
    <w:p>
      <w:pPr>
        <w:spacing w:after="0" w:line="103" w:lineRule="exact"/>
        <w:rPr>
          <w:rFonts w:ascii="Arial" w:cs="Arial" w:eastAsia="Arial" w:hAnsi="Arial"/>
          <w:sz w:val="18"/>
          <w:szCs w:val="18"/>
          <w:color w:val="auto"/>
        </w:rPr>
      </w:pPr>
    </w:p>
    <w:p>
      <w:pPr>
        <w:ind w:left="1020" w:right="60" w:hanging="503"/>
        <w:spacing w:after="0" w:line="248"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we fail to maintain an effective system of internal control over financial reporting which results in material weaknesses, we may be unable to accurately report our results of operations, meet our reporting obligations or prevent fraud, and investor confidence in our company and the market price of our common stock may be materially and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108" w:lineRule="exact"/>
        <w:rPr>
          <w:sz w:val="20"/>
          <w:szCs w:val="20"/>
          <w:color w:val="auto"/>
        </w:rPr>
      </w:pPr>
    </w:p>
    <w:p>
      <w:pPr>
        <w:ind w:left="260" w:right="420"/>
        <w:spacing w:after="0" w:line="291" w:lineRule="auto"/>
        <w:rPr>
          <w:sz w:val="20"/>
          <w:szCs w:val="20"/>
          <w:color w:val="auto"/>
        </w:rPr>
      </w:pPr>
      <w:r>
        <w:rPr>
          <w:rFonts w:ascii="Arial" w:cs="Arial" w:eastAsia="Arial" w:hAnsi="Arial"/>
          <w:sz w:val="17"/>
          <w:szCs w:val="17"/>
          <w:b w:val="1"/>
          <w:bCs w:val="1"/>
          <w:i w:val="1"/>
          <w:iCs w:val="1"/>
          <w:color w:val="auto"/>
        </w:rPr>
        <w:t>We will need additional funding to complete the development of our product candidates. A failure to obtain this necessary capital when needed could force us to delay, limit, reduce or terminate our product development or commercialization efforts.</w:t>
      </w:r>
    </w:p>
    <w:p>
      <w:pPr>
        <w:spacing w:after="0" w:line="52" w:lineRule="exact"/>
        <w:rPr>
          <w:sz w:val="20"/>
          <w:szCs w:val="20"/>
          <w:color w:val="auto"/>
        </w:rPr>
      </w:pPr>
    </w:p>
    <w:p>
      <w:pPr>
        <w:ind w:right="340" w:firstLine="509"/>
        <w:spacing w:after="0" w:line="291" w:lineRule="auto"/>
        <w:rPr>
          <w:sz w:val="20"/>
          <w:szCs w:val="20"/>
          <w:color w:val="auto"/>
        </w:rPr>
      </w:pPr>
      <w:r>
        <w:rPr>
          <w:rFonts w:ascii="Arial" w:cs="Arial" w:eastAsia="Arial" w:hAnsi="Arial"/>
          <w:sz w:val="17"/>
          <w:szCs w:val="17"/>
          <w:color w:val="auto"/>
        </w:rPr>
        <w:t>We will require substantial additional funding to meet our financial needs and to pursue our business objectives. If we are unable to raise capital when needed, we could be forced to delay, reduce or altogether cease our product development programs or commercialization efforts.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20" w:right="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laboratory testing, manufacturing, preclinical and clinical development for our current and future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17"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amounts of any milestone or royalty payments we may be required to make or may be entitled to receive under license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building out our infrastructure including hiring additional clinical, quality control and manufacturing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9" w:name="page30"/>
    <w:bookmarkEnd w:id="29"/>
    <w:p>
      <w:pPr>
        <w:ind w:left="1020" w:right="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03"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sz w:val="20"/>
          <w:szCs w:val="20"/>
          <w:color w:val="auto"/>
        </w:rPr>
      </w:pPr>
    </w:p>
    <w:p>
      <w:pPr>
        <w:jc w:val="both"/>
        <w:ind w:right="140" w:firstLine="509"/>
        <w:spacing w:after="0" w:line="243" w:lineRule="auto"/>
        <w:rPr>
          <w:sz w:val="20"/>
          <w:szCs w:val="20"/>
          <w:color w:val="auto"/>
        </w:rPr>
      </w:pPr>
      <w:r>
        <w:rPr>
          <w:rFonts w:ascii="Arial" w:cs="Arial" w:eastAsia="Arial" w:hAnsi="Arial"/>
          <w:sz w:val="18"/>
          <w:szCs w:val="18"/>
          <w:color w:val="auto"/>
        </w:rPr>
        <w:t>We cannot be certain that additional funding will be available on acceptable terms, or at all.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also be terminated if we are unable to meet the payment or other obligations under the agreements.</w:t>
      </w:r>
    </w:p>
    <w:p>
      <w:pPr>
        <w:spacing w:after="0" w:line="93"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3" w:lineRule="exact"/>
        <w:rPr>
          <w:sz w:val="20"/>
          <w:szCs w:val="20"/>
          <w:color w:val="auto"/>
        </w:rPr>
      </w:pPr>
    </w:p>
    <w:p>
      <w:pPr>
        <w:ind w:right="80" w:firstLine="509"/>
        <w:spacing w:after="0" w:line="288"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Until such time, if ever, as we can generate substantial product revenues, we expect to finance our cash needs through any or a combination of securities offerings, debt financings, license and collaboration agreements and research grants. If we raise capital through securities offerings, such sales are likely to result in material dilution to our existing stockholders, and new investors could gain rights, preferences and privileges senior to the holders of our common stock.</w:t>
      </w:r>
    </w:p>
    <w:p>
      <w:pPr>
        <w:spacing w:after="0" w:line="4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To the extent that we raise additional capital through the sale of equity, warrants to purchase equity, or convertible debt securities, your ownership interest will be diluted, and the terms of these securities may include liquidation or other preferences that adversely affect your rights as a stockholder.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w:t>
      </w:r>
    </w:p>
    <w:p>
      <w:pPr>
        <w:spacing w:after="0" w:line="42" w:lineRule="exact"/>
        <w:rPr>
          <w:sz w:val="20"/>
          <w:szCs w:val="20"/>
          <w:color w:val="auto"/>
        </w:rPr>
      </w:pPr>
    </w:p>
    <w:p>
      <w:pPr>
        <w:ind w:right="60" w:firstLine="509"/>
        <w:spacing w:after="0" w:line="260"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stockholders, and may cause the market price of our common stock to decline.</w:t>
      </w:r>
    </w:p>
    <w:p>
      <w:pPr>
        <w:spacing w:after="0" w:line="65"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In addition, we may seek additional capital due to favorable market conditions or strategic considerations even if we believe that we have sufficient funds for our current or future operating plans. If we raise additional funds through collaboration and licensing arrangements with third parties, we may have to relinquish some rights to our technologies or our product candidates on terms that are not favorable to us. Any additional capital raising efforts may divert our management from their day-to-day activities, which may adversely affect our ability to develop and commercialize our current and future product candidates, if approved. If we are unable to raise capital when needed or on attractive terms, we could be forced to delay, reduce or altogether cease our research and development programs or future commercialization efforts.</w:t>
      </w:r>
    </w:p>
    <w:p>
      <w:pPr>
        <w:spacing w:after="0" w:line="65" w:lineRule="exact"/>
        <w:rPr>
          <w:sz w:val="20"/>
          <w:szCs w:val="20"/>
          <w:color w:val="auto"/>
        </w:rPr>
      </w:pPr>
    </w:p>
    <w:p>
      <w:pPr>
        <w:ind w:left="260" w:right="380"/>
        <w:spacing w:after="0" w:line="261" w:lineRule="auto"/>
        <w:rPr>
          <w:sz w:val="20"/>
          <w:szCs w:val="20"/>
          <w:color w:val="auto"/>
        </w:rPr>
      </w:pPr>
      <w:r>
        <w:rPr>
          <w:rFonts w:ascii="Arial" w:cs="Arial" w:eastAsia="Arial" w:hAnsi="Arial"/>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76"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have incurred significant net losses since our inception. Our net loss was $36.4 million and $27.4 million for the nine months ended September 30, 2022 and 2021, respectively. As of September 30, 2022, we had an accumulated deficit of $185.6 million. We have funded our operations to date primarily with proceeds from the sale of our equity securities and borrowings of convertible debt.</w:t>
      </w:r>
    </w:p>
    <w:p>
      <w:pPr>
        <w:spacing w:after="0" w:line="74" w:lineRule="exact"/>
        <w:rPr>
          <w:sz w:val="20"/>
          <w:szCs w:val="20"/>
          <w:color w:val="auto"/>
        </w:rPr>
      </w:pPr>
    </w:p>
    <w:p>
      <w:pPr>
        <w:ind w:right="240" w:firstLine="509"/>
        <w:spacing w:after="0" w:line="290" w:lineRule="auto"/>
        <w:rPr>
          <w:sz w:val="20"/>
          <w:szCs w:val="20"/>
          <w:color w:val="auto"/>
        </w:rPr>
      </w:pPr>
      <w:r>
        <w:rPr>
          <w:rFonts w:ascii="Arial" w:cs="Arial" w:eastAsia="Arial" w:hAnsi="Arial"/>
          <w:sz w:val="16"/>
          <w:szCs w:val="16"/>
          <w:color w:val="auto"/>
        </w:rPr>
        <w:t>We have no products approved for commercial sale, have not generated any revenue from commercial sales of our product candidates, and are devoting substantially all of our financial resources and efforts to research and development of our TMAb platform. Investment in therapeutic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ind w:firstLine="509"/>
        <w:spacing w:after="0" w:line="268" w:lineRule="auto"/>
        <w:rPr>
          <w:sz w:val="20"/>
          <w:szCs w:val="20"/>
          <w:color w:val="auto"/>
        </w:rPr>
      </w:pPr>
      <w:r>
        <w:rPr>
          <w:rFonts w:ascii="Arial" w:cs="Arial" w:eastAsia="Arial" w:hAnsi="Arial"/>
          <w:sz w:val="17"/>
          <w:szCs w:val="17"/>
          <w:color w:val="auto"/>
        </w:rPr>
        <w:t>We expect that it will take at least several years until any of our product candidates receive marketing approval and are commercialized, and we may never be successful in obtaining marketing approval and commercializing product candidates. We expect to continue to incur significant expenses and increasing operating losses for the foreseeable future. These net losses will adversely impact our stockholders’ equity and net assets and may fluctuate significantly from quarter to quarter and year to year. We anticipate that our expenses will increase substantially as we:</w:t>
      </w:r>
    </w:p>
    <w:p>
      <w:pPr>
        <w:spacing w:after="0" w:line="72"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prepare to file INDs and then initiate clinical development of our product candidates, including SNS-101;</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 in our TMAb platform;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or acquire or in-license drugs, product candidates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manufacturing capabilities to commercialize any product candidates for which we may obtain regulatory approval;</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secure the clinical and commercial supply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additional research and development and selling, general and administrative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newly public company.</w:t>
      </w:r>
    </w:p>
    <w:p>
      <w:pPr>
        <w:spacing w:after="0" w:line="104"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Achievement will require us to be successful in a range of challenging activities, including completing preclinical studies and clinical trials of our product candidates, obtaining regulatory approval, manufacturing, marketing and selling any products for which we may obtain regulatory approval, as well as discovering and developing additional product candidates. We may never succeed in these activities and, even if we do, may never generate revenues that are significant enough to achieve profitability.</w:t>
      </w:r>
    </w:p>
    <w:p>
      <w:pPr>
        <w:spacing w:after="0" w:line="91" w:lineRule="exact"/>
        <w:rPr>
          <w:sz w:val="20"/>
          <w:szCs w:val="20"/>
          <w:color w:val="auto"/>
        </w:rPr>
      </w:pPr>
    </w:p>
    <w:p>
      <w:pPr>
        <w:ind w:right="160" w:firstLine="509"/>
        <w:spacing w:after="0" w:line="290" w:lineRule="auto"/>
        <w:rPr>
          <w:sz w:val="20"/>
          <w:szCs w:val="20"/>
          <w:color w:val="auto"/>
        </w:rPr>
      </w:pPr>
      <w:r>
        <w:rPr>
          <w:rFonts w:ascii="Arial" w:cs="Arial" w:eastAsia="Arial" w:hAnsi="Arial"/>
          <w:sz w:val="16"/>
          <w:szCs w:val="16"/>
          <w:color w:val="auto"/>
        </w:rPr>
        <w:t>Because of the numerous risks and uncertainties associated with the development and commercialization of therapeutic product candidates, we are unable to accurately predict the timing or amount of expenses or when, or if, we will be able to achieve and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and profitability could be further delayed.</w:t>
      </w:r>
    </w:p>
    <w:p>
      <w:pPr>
        <w:spacing w:after="0" w:line="42" w:lineRule="exact"/>
        <w:rPr>
          <w:sz w:val="20"/>
          <w:szCs w:val="20"/>
          <w:color w:val="auto"/>
        </w:rPr>
      </w:pPr>
    </w:p>
    <w:p>
      <w:pPr>
        <w:ind w:right="160" w:firstLine="509"/>
        <w:spacing w:after="0" w:line="290" w:lineRule="auto"/>
        <w:rPr>
          <w:sz w:val="20"/>
          <w:szCs w:val="20"/>
          <w:color w:val="auto"/>
        </w:rPr>
      </w:pPr>
      <w:r>
        <w:rPr>
          <w:rFonts w:ascii="Arial" w:cs="Arial" w:eastAsia="Arial" w:hAnsi="Arial"/>
          <w:sz w:val="16"/>
          <w:szCs w:val="16"/>
          <w:color w:val="auto"/>
        </w:rPr>
        <w:t>Because of the numerous risks and uncertainties associated with the development and commercialization of therapeutic product candidates, we are unable to accurately predict the timing or amount of expenses or when, or if, we will be able to achieve and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and profitability could be further delayed.</w:t>
      </w:r>
    </w:p>
    <w:p>
      <w:pPr>
        <w:spacing w:after="0" w:line="42" w:lineRule="exact"/>
        <w:rPr>
          <w:sz w:val="20"/>
          <w:szCs w:val="20"/>
          <w:color w:val="auto"/>
        </w:rPr>
      </w:pPr>
    </w:p>
    <w:p>
      <w:pPr>
        <w:ind w:right="20" w:firstLine="509"/>
        <w:spacing w:after="0" w:line="303" w:lineRule="auto"/>
        <w:rPr>
          <w:sz w:val="20"/>
          <w:szCs w:val="20"/>
          <w:color w:val="auto"/>
        </w:rPr>
      </w:pPr>
      <w:r>
        <w:rPr>
          <w:rFonts w:ascii="Arial" w:cs="Arial" w:eastAsia="Arial" w:hAnsi="Arial"/>
          <w:sz w:val="16"/>
          <w:szCs w:val="16"/>
          <w:color w:val="auto"/>
        </w:rPr>
        <w:t>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operating history may make it difficult for you to evaluate the success of our business to date and to assess our future viability.</w:t>
      </w:r>
    </w:p>
    <w:p>
      <w:pPr>
        <w:spacing w:after="0" w:line="115"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As an organization, we have not demonstrated an ability to successfully complete clinical trials, obtain regulatory approvals, manufacture our product candidates at commercial scale or arrange for a third party to do so on our behalf, conduct sales and marketing activities necessary for successful commercialization, or obtain reimbursement in the countries of sale. We may encounter unforeseen expenses, difficulties, complications, and delays in achieving our business objectives. Our operating history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suffer.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left="260" w:right="80"/>
        <w:spacing w:after="0" w:line="248" w:lineRule="auto"/>
        <w:rPr>
          <w:sz w:val="20"/>
          <w:szCs w:val="20"/>
          <w:color w:val="auto"/>
        </w:rPr>
      </w:pPr>
      <w:r>
        <w:rPr>
          <w:rFonts w:ascii="Arial" w:cs="Arial" w:eastAsia="Arial" w:hAnsi="Arial"/>
          <w:sz w:val="18"/>
          <w:szCs w:val="18"/>
          <w:b w:val="1"/>
          <w:bCs w:val="1"/>
          <w:i w:val="1"/>
          <w:iCs w:val="1"/>
          <w:color w:val="auto"/>
        </w:rPr>
        <w:t>Although we plan to submit an IND for SNS-101 in the first half of 2023, 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1" w:name="page32"/>
    <w:bookmarkEnd w:id="31"/>
    <w:p>
      <w:pPr>
        <w:ind w:right="100" w:firstLine="509"/>
        <w:spacing w:after="0" w:line="246" w:lineRule="auto"/>
        <w:rPr>
          <w:sz w:val="20"/>
          <w:szCs w:val="20"/>
          <w:color w:val="auto"/>
        </w:rPr>
      </w:pPr>
      <w:r>
        <w:rPr>
          <w:rFonts w:ascii="Arial" w:cs="Arial" w:eastAsia="Arial" w:hAnsi="Arial"/>
          <w:sz w:val="18"/>
          <w:szCs w:val="18"/>
          <w:color w:val="auto"/>
        </w:rPr>
        <w:t>There is no assurance that any future clinical trials of our product candidates will be successful or will generate positive clinical data and we may not receive marketing approval from the FDA or other regulatory agencies for any of our product candidates. Our product candidates are in preclinical development. Although we expect to submit an IND for SNS-101 to the FDA in the first half of 2023, there can be no assurance that the FDA will permit the IND, or any future IND for our other product candidates, to go into effect in a timely manner or at all. Without the IND, we will not be permitted to conduct our planned clinical trial of SNS-101, nor would we be permitted to conduct further clinical trials in the United States without future INDs for our other product candidates.</w:t>
      </w:r>
    </w:p>
    <w:p>
      <w:pPr>
        <w:spacing w:after="0" w:line="77" w:lineRule="exact"/>
        <w:rPr>
          <w:sz w:val="20"/>
          <w:szCs w:val="20"/>
          <w:color w:val="auto"/>
        </w:rPr>
      </w:pPr>
    </w:p>
    <w:p>
      <w:pPr>
        <w:jc w:val="both"/>
        <w:ind w:right="160" w:firstLine="509"/>
        <w:spacing w:after="0" w:line="256" w:lineRule="auto"/>
        <w:rPr>
          <w:sz w:val="20"/>
          <w:szCs w:val="20"/>
          <w:color w:val="auto"/>
        </w:rPr>
      </w:pPr>
      <w:r>
        <w:rPr>
          <w:rFonts w:ascii="Arial" w:cs="Arial" w:eastAsia="Arial" w:hAnsi="Arial"/>
          <w:sz w:val="18"/>
          <w:szCs w:val="18"/>
          <w:color w:val="auto"/>
        </w:rPr>
        <w:t>Biopharmaceutical development is a long, expensive and uncertain process, and delay or failure can occur at any stage of any of our clinical trials. Failure to obtain regulatory approval for our product candidates will prevent us from commercializing and marketing our product candidates. The success in the development of our product candidates will depend on many factors, including:</w:t>
      </w:r>
    </w:p>
    <w:p>
      <w:pPr>
        <w:spacing w:after="0" w:line="67"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completing preclinical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of INDs for and receipt of allowance to proceed with our planned clinical trials or other future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initiating, enrolling, and completing clinical trials;</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positive results from our preclinical studies and clinical trials that support a demonstration of efficacy, safety, and durability of effect for our product candidates;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receiving approvals for commercialization of our product candidates from applicable regulatory authorities;</w:t>
      </w:r>
    </w:p>
    <w:p>
      <w:pPr>
        <w:spacing w:after="0" w:line="103" w:lineRule="exact"/>
        <w:rPr>
          <w:rFonts w:ascii="Arial" w:cs="Arial" w:eastAsia="Arial" w:hAnsi="Arial"/>
          <w:sz w:val="18"/>
          <w:szCs w:val="18"/>
          <w:color w:val="auto"/>
        </w:rPr>
      </w:pPr>
    </w:p>
    <w:p>
      <w:pPr>
        <w:ind w:left="1020" w:right="7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our products, if and when approved, whether alone or in collaboration with others;</w:t>
      </w:r>
    </w:p>
    <w:p>
      <w:pPr>
        <w:spacing w:after="0" w:line="76"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 manufacturing our product candidates at an acceptable cost; and</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and growing an organization of scientists, medical professionals and business people who can develop and commercialize our products and technology.</w:t>
      </w:r>
    </w:p>
    <w:p>
      <w:pPr>
        <w:spacing w:after="0" w:line="49"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Many of these factors are beyond our control, including the time needed to adequately complete clinical testing and the regulatory submission process. It is possible that none of our product candidates will ever obtain regulatory approval, even if we expend substantial time and resources seeking such approval. If we do not achieve one or more of these factors in a timely manner or at all, or any other factors impacting the successful development of biopharmaceutical products, we could experience significant delays or an inability to successfully develop our product candidates, which could materially harm our business.</w:t>
      </w:r>
    </w:p>
    <w:p>
      <w:pPr>
        <w:spacing w:after="0" w:line="78" w:lineRule="exact"/>
        <w:rPr>
          <w:sz w:val="20"/>
          <w:szCs w:val="20"/>
          <w:color w:val="auto"/>
        </w:rPr>
      </w:pPr>
    </w:p>
    <w:p>
      <w:pPr>
        <w:ind w:left="260" w:right="40"/>
        <w:spacing w:after="0" w:line="277" w:lineRule="auto"/>
        <w:rPr>
          <w:sz w:val="20"/>
          <w:szCs w:val="20"/>
          <w:color w:val="auto"/>
        </w:rPr>
      </w:pPr>
      <w:r>
        <w:rPr>
          <w:rFonts w:ascii="Arial" w:cs="Arial" w:eastAsia="Arial" w:hAnsi="Arial"/>
          <w:sz w:val="18"/>
          <w:szCs w:val="18"/>
          <w:b w:val="1"/>
          <w:bCs w:val="1"/>
          <w:i w:val="1"/>
          <w:iCs w:val="1"/>
          <w:color w:val="auto"/>
        </w:rPr>
        <w:t>The therapeutic efficacy of our product candidates, including SNS-101, is unproven in humans, and we may not be able to successfully develop and commercialize drug candidates pursuant to these programs.</w:t>
      </w:r>
    </w:p>
    <w:p>
      <w:pPr>
        <w:spacing w:after="0" w:line="49"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Our TMAb product candidates are novel chemical and biologic entities and their potential benefit as therapeutic cancer drugs is unproven. For example, SNS-101 is a human monoclonal antibody targeting the novel immune checkpoint VISTA. There are currently no approved therapies that target VISTA. Our ability to generate revenues from our TMAb product candidates, which we do not expect will occur in the short-term, if ever, will depend heavily on their successful development and commercialization, which is subject to many potential risks. For example, our product candidates may not prove to be effective inhibitors of the molecular targets they are being designed to act against and may not demonstrate in patients any or all of the pharmacological benefits that may have been demonstrated in preclinical studies. These drug candidates may interact with human biological systems in unforeseen, ineffective or harmful ways. If the FDA determines that any of our drug candidates are associated with significant side effects or have characteristics that are unexpected, we may need to delay or abandon their development or limit development to certain uses or subpopulations in which the undesirable side effects or other characteristics are less prevalent, less severe or more acceptable from a risk benefit perspective. Moreover, we may determine after conducting clinical trials or related studies that certain of our drug candidates or platforms do not possess the anticipated therapeutic characteristics, and we may decide to abandon or discontinue any one of our studies, product candidates or platforms. For example, in June 2021 we announced the discontinuation of our SNS-301 program and terminated the Phase 1/2 clinic trial studying SNS-301 due to a lack of efficacy. In November 2022, we announced the suspension of our ImmunoPhage platform entirely and we are now focused on developing our TMAb platform.</w:t>
      </w:r>
    </w:p>
    <w:p>
      <w:pPr>
        <w:spacing w:after="0" w:line="54"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 xml:space="preserve">Many drug candidates that initially showed promise in early stage testing for treating cancer have later been found to be ineffective and/or cause side effects that prevented further development of the compound or resulted in their removal from the market. For example, in a third-party clinical trial of an anti-VISTA monoclonal antibody, dose limiting toxicities caused by cytokine release syndrome resulted in early termination of the clinical trial. Although we have generated preclinical data suggesting that the conditionally active properties of SNS-101 have the potential to avoid poor pharmacokinetics and lower the risk of cytokine release syndrome, those data were generated from either animal studies 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studies using human samples and there can be no assurances that similar results will be achieved in clinical trials of SNS-101 with human subjects. As a result of these and other risks described herein that are inherent in the development and commercialization of novel therapeutic agents, we may not successfully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develop and commercialize our drug candidates, in which case we may not achieve profitability and the value of our stock may decline.</w:t>
      </w:r>
    </w:p>
    <w:p>
      <w:pPr>
        <w:spacing w:after="0" w:line="117" w:lineRule="exact"/>
        <w:rPr>
          <w:sz w:val="20"/>
          <w:szCs w:val="20"/>
          <w:color w:val="auto"/>
        </w:rPr>
      </w:pPr>
    </w:p>
    <w:p>
      <w:pPr>
        <w:ind w:left="260" w:right="160"/>
        <w:spacing w:after="0" w:line="324"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p>
    <w:p>
      <w:pPr>
        <w:spacing w:after="0" w:line="16"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We do not have any products that have gained regulatory approval. Our business is substantially dependent on our ability to obtain regulatory approval for our preclinical programs. We cannot commercialize product candidates in the United States without first obtaining regulatory approval for the product from the FDA. Before obtaining regulatory approvals for the commercial sale of any product candidate for a particular indication, we must demonstrate with substantial evidence gathered in preclinical and clinical studies, that the product candidate is safe and effective for that indication and that the manufacturing facilities, processes and controls are adequate with respect to such product candidate. Prior to seeking approval for any of our product candidates, we will need to confer with the FDA and other regulatory authorities regarding the design of our clinical trials and the type and amount of clinical data necessary to seek and gain approval for our product candidates.</w:t>
      </w:r>
    </w:p>
    <w:p>
      <w:pPr>
        <w:spacing w:after="0" w:line="64"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The time required to obtain approval by the FDA and other regulatory authorities is unpredictable and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our existing product candidates or any future product candidates will ever obtain regulatory approval.</w:t>
      </w:r>
    </w:p>
    <w:p>
      <w:pPr>
        <w:spacing w:after="0" w:line="74"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Our product candidates could fail to receive regulatory approval from the FDA or other comparable regulatory authorities for many reasons, including:</w:t>
      </w:r>
    </w:p>
    <w:p>
      <w:pPr>
        <w:spacing w:after="0" w:line="76"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disagreement with the design, protocol or conduct of our clinical trials, including with respect to the planned clinical trial of SNS-101;</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03"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insufficiency of data collected from clinical trials of our product candidates to support the submission and filing of a Biologics License Application, or BLA, or other submission or to obtain regulatory approval;</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our facilities;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adequate funding to complete a clinical trial in a manner that is satisfactory to the applicable regulatory authority.</w:t>
      </w:r>
    </w:p>
    <w:p>
      <w:pPr>
        <w:spacing w:after="0" w:line="117"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Many of these risks are beyond our control, including the risks related to clinical development. If we are unable to develop, receive regulatory approval for, or successfully commercialize our product candidates, or if we experience delays as a result of any of these risks or otherwise, our business could be materially harmed.</w:t>
      </w:r>
    </w:p>
    <w:p>
      <w:pPr>
        <w:spacing w:after="0" w:line="8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FDA or a comparable regulatory authority may require more information, including additional preclinical or clinical data to support approval, including data that would require us to perform additional clinical trials or modify our manufacturing processes, which may delay or prevent approval and our commercialization plans, or we may decide to abandon the development program. If we change our manufacturing processes, we may be required to conduct additional clinical trials or other studies, which also could delay or prevent approval of our product candidates. If we were to obtain approval, regulatory authorities may approve any of our product candidates for fewer indications than we request (including failing to approve the most commercially promising indications), may limit indications,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w:t>
      </w:r>
    </w:p>
    <w:p>
      <w:pPr>
        <w:spacing w:after="0" w:line="78"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Even if a product candidate were to successfully obtain approval from the FDA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or generate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right="840"/>
        <w:spacing w:after="0" w:line="277" w:lineRule="auto"/>
        <w:rPr>
          <w:sz w:val="20"/>
          <w:szCs w:val="20"/>
          <w:color w:val="auto"/>
        </w:rPr>
      </w:pPr>
      <w:r>
        <w:rPr>
          <w:rFonts w:ascii="Arial" w:cs="Arial" w:eastAsia="Arial" w:hAnsi="Arial"/>
          <w:sz w:val="18"/>
          <w:szCs w:val="18"/>
          <w:color w:val="auto"/>
        </w:rPr>
        <w:t>revenues attributable to that product candidate. Also, any regulatory approval of our current or future product candidates, once obtained, may be withdrawn.</w:t>
      </w:r>
    </w:p>
    <w:p>
      <w:pPr>
        <w:spacing w:after="0" w:line="49" w:lineRule="exact"/>
        <w:rPr>
          <w:sz w:val="20"/>
          <w:szCs w:val="20"/>
          <w:color w:val="auto"/>
        </w:rPr>
      </w:pPr>
    </w:p>
    <w:p>
      <w:pPr>
        <w:jc w:val="both"/>
        <w:ind w:left="260" w:right="540"/>
        <w:spacing w:after="0" w:line="331" w:lineRule="auto"/>
        <w:rPr>
          <w:sz w:val="20"/>
          <w:szCs w:val="20"/>
          <w:color w:val="auto"/>
        </w:rPr>
      </w:pPr>
      <w:r>
        <w:rPr>
          <w:rFonts w:ascii="Arial" w:cs="Arial" w:eastAsia="Arial" w:hAnsi="Arial"/>
          <w:sz w:val="15"/>
          <w:szCs w:val="15"/>
          <w:b w:val="1"/>
          <w:bCs w:val="1"/>
          <w:i w:val="1"/>
          <w:iCs w:val="1"/>
          <w:color w:val="auto"/>
        </w:rPr>
        <w:t>Our business is highly dependent on the success of our product candidates that we advance into the clinic. All of our product candidates may require significant additional preclinical, clinical and manufacturing development before we may be able to seek regulatory approval for and launch a product commercially and we may not be successful in our efforts to build a pipeline of product candidates.</w:t>
      </w:r>
    </w:p>
    <w:p>
      <w:pPr>
        <w:spacing w:after="0" w:line="15"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A key element of our strategy is utilizing our TMAb platform to develop conditionally active monoclonal antibodies, which we believe could generate safer and more effective cancer therapies. However, we currently have no products that are approved for commercial sale and may never be able to develop marketable products. We are very early in our development efforts, and although we plan to submit an IND for SNS-101 in the first half of 2023, none of our product candidates are currently in clinical development. If any of our product candidates, including SNS-101, encounters safety or efficacy problems, development delays, regulatory issues or other problems, our development plans and forecasted timeline and business could be significantly harmed. Our TMAb platform is designed to generate next-generation antibodies that have potential to block key immune checkpoints selectively within the tumor microenvironment. However, our TMAb platform may not produce product candidates that are safe and effective, or which compare favorably with other commercially available alternatives. Even if we are successful in continuing to build our pipeline and develop next-generation antibodies, the potential product candidates that we identify may not be suitable for clinical development, including as a result of lack of safety, lack of tolerability, or other characteristics that indicate that they are unlikely to be products that will receive marketing approval, achieve market acceptance or obtain reimbursements from third-party payors. We cannot provide you with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54"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TMAb platform may not be successful in identifying additional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such as cytokine release syndrome, or other characteristics that indicate it is unlikely to be effective or otherwise does not meet applicable regulatory criteria;</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development program so that the continued development of that product candidate is no longer reasonable;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115"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discover, develop, or commercialize additional product candidates, which could have a material adverse effect on our business and could potentially cause us to cease operations.</w:t>
      </w:r>
    </w:p>
    <w:p>
      <w:pPr>
        <w:spacing w:after="0" w:line="67" w:lineRule="exact"/>
        <w:rPr>
          <w:sz w:val="20"/>
          <w:szCs w:val="20"/>
          <w:color w:val="auto"/>
        </w:rPr>
      </w:pPr>
    </w:p>
    <w:p>
      <w:pPr>
        <w:ind w:right="260" w:firstLine="509"/>
        <w:spacing w:after="0" w:line="308" w:lineRule="auto"/>
        <w:rPr>
          <w:sz w:val="20"/>
          <w:szCs w:val="20"/>
          <w:color w:val="auto"/>
        </w:rPr>
      </w:pPr>
      <w:r>
        <w:rPr>
          <w:rFonts w:ascii="Arial" w:cs="Arial" w:eastAsia="Arial" w:hAnsi="Arial"/>
          <w:sz w:val="17"/>
          <w:szCs w:val="17"/>
          <w:color w:val="auto"/>
        </w:rPr>
        <w:t>If we do not successfully develop and commercialize product candidates or collaborate with others to do so, we will not be able to obtain product revenue in future periods, which could significantly harm our financial position and adversely affect the trading price of our common stock.</w:t>
      </w:r>
    </w:p>
    <w:p>
      <w:pPr>
        <w:spacing w:after="0" w:line="25" w:lineRule="exact"/>
        <w:rPr>
          <w:sz w:val="20"/>
          <w:szCs w:val="20"/>
          <w:color w:val="auto"/>
        </w:rPr>
      </w:pPr>
    </w:p>
    <w:p>
      <w:pPr>
        <w:ind w:left="260" w:right="720"/>
        <w:spacing w:after="0" w:line="26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have a greater likelihood of success.</w:t>
      </w:r>
    </w:p>
    <w:p>
      <w:pPr>
        <w:spacing w:after="0" w:line="76"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Our spending on current and future research and development programs and product candidates for specific indications may not yield any commercially viable products. For example, in June 2021 we announced the discontinuation of our SNS-301 program in order to focus on our current programs. SNS-301 had been our lead product candidate and only clinical stage program. Furthermore, in November 2022 we announced the suspension of our ImmunoPhage platform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420"/>
        <w:spacing w:after="0" w:line="277" w:lineRule="auto"/>
        <w:rPr>
          <w:sz w:val="20"/>
          <w:szCs w:val="20"/>
          <w:color w:val="auto"/>
        </w:rPr>
      </w:pPr>
      <w:r>
        <w:rPr>
          <w:rFonts w:ascii="Arial" w:cs="Arial" w:eastAsia="Arial" w:hAnsi="Arial"/>
          <w:sz w:val="18"/>
          <w:szCs w:val="18"/>
          <w:color w:val="auto"/>
        </w:rPr>
        <w:t>entirely, including SNS-401-NG, which we were developing for the treatment of patients with Merkel cell carcinoma. As a result, we are now focused exclusively on developing our TMAb product candidates.</w:t>
      </w:r>
    </w:p>
    <w:p>
      <w:pPr>
        <w:spacing w:after="0" w:line="49" w:lineRule="exact"/>
        <w:rPr>
          <w:sz w:val="20"/>
          <w:szCs w:val="20"/>
          <w:color w:val="auto"/>
        </w:rPr>
      </w:pPr>
    </w:p>
    <w:p>
      <w:pPr>
        <w:ind w:left="260" w:right="440"/>
        <w:spacing w:after="0" w:line="278" w:lineRule="auto"/>
        <w:rPr>
          <w:sz w:val="20"/>
          <w:szCs w:val="20"/>
          <w:color w:val="auto"/>
        </w:rPr>
      </w:pPr>
      <w:r>
        <w:rPr>
          <w:rFonts w:ascii="Arial" w:cs="Arial" w:eastAsia="Arial" w:hAnsi="Arial"/>
          <w:sz w:val="17"/>
          <w:szCs w:val="17"/>
          <w:b w:val="1"/>
          <w:bCs w:val="1"/>
          <w:i w:val="1"/>
          <w:iCs w:val="1"/>
          <w:color w:val="auto"/>
        </w:rPr>
        <w:t>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50"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Our product candidates are still in the preclinical development stage, and the risk of failure of preclinical programs is high. Before we can commence clinical trials for a product candidate, we must complete extensive preclinical testing and studies to obtain regulatory clearance to initiate human clinical trials. We cannot be certain of the timely completion or outcome of our preclinical testing and studies and cannot predict if the FDA or other regulatory authorities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including our planned IND for SNS-101, on the timelines we expect, if at all, and we cannot be sure that submission of INDs or similar applications will result in the FDA or other regulatory authorities allowing clinical trials to begin. It is impossible to predict accurately when or if any of our product candidates will prove effective or safe in humans and will receive regulatory approval. Before obtaining marketing approval from regulatory authorities for the commercial sale of any of our product candidates, we must demonstrate through lengthy, complex and expensive preclinical testing and clinical trials that our product candidates are both safe and effective for use in each target indication. Clinical testing is expensive, difficult to design and implement, can take many years to complete and is uncertain as to outcome. A failure of one or more clinical trials can occur at any stage of testing.</w:t>
      </w:r>
    </w:p>
    <w:p>
      <w:pPr>
        <w:spacing w:after="0" w:line="5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marketing approval or commercialize any of our product candidates, including:</w:t>
      </w:r>
    </w:p>
    <w:p>
      <w:pPr>
        <w:spacing w:after="0" w:line="49" w:lineRule="exact"/>
        <w:rPr>
          <w:sz w:val="20"/>
          <w:szCs w:val="20"/>
          <w:color w:val="auto"/>
        </w:rPr>
      </w:pPr>
    </w:p>
    <w:p>
      <w:pPr>
        <w:ind w:left="1020" w:right="1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other comparable regulatory authority may disagree as to the number, design or implementation of our clinical trials, or may not interpret the results from clinical trials as we do;</w:t>
      </w:r>
    </w:p>
    <w:p>
      <w:pPr>
        <w:spacing w:after="0" w:line="76"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reach agreement on acceptable terms with prospective clinical trial sites, the terms of which can be subject to extensive negotiation and may vary significantly among different clinical trial sites;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preclinical studies or clinical trials or abandon our product development programs;</w:t>
      </w:r>
    </w:p>
    <w:p>
      <w:pPr>
        <w:spacing w:after="0" w:line="76"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suitable patients to participate in a trial;</w:t>
      </w:r>
    </w:p>
    <w:p>
      <w:pPr>
        <w:spacing w:after="0" w:line="87"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20" w:right="40" w:hanging="503"/>
        <w:spacing w:after="0" w:line="25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fail to approve our manufacturing processes or facilities;</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76" w:lineRule="exact"/>
        <w:rPr>
          <w:rFonts w:ascii="Arial" w:cs="Arial" w:eastAsia="Arial" w:hAnsi="Arial"/>
          <w:sz w:val="18"/>
          <w:szCs w:val="18"/>
          <w:color w:val="auto"/>
        </w:rPr>
      </w:pPr>
    </w:p>
    <w:p>
      <w:pPr>
        <w:ind w:left="1020" w:right="240" w:hanging="503"/>
        <w:spacing w:after="0" w:line="324"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or other unexpected characteristics, particularly given their novel, first-in-human application, causing us or our investigators, regulators or institutional review boards to suspend or terminate the clinical trials; and</w:t>
      </w:r>
    </w:p>
    <w:p>
      <w:pPr>
        <w:spacing w:after="0" w:line="16" w:lineRule="exact"/>
        <w:rPr>
          <w:rFonts w:ascii="Arial" w:cs="Arial" w:eastAsia="Arial" w:hAnsi="Arial"/>
          <w:sz w:val="16"/>
          <w:szCs w:val="16"/>
          <w:color w:val="auto"/>
        </w:rPr>
      </w:pPr>
    </w:p>
    <w:p>
      <w:pPr>
        <w:ind w:left="1020" w:right="24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regulatory authorities may significantly change in a manner rendering our clinical data insufficient for approval.</w:t>
      </w:r>
    </w:p>
    <w:p>
      <w:pPr>
        <w:spacing w:after="0" w:line="76"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To the extent that the results of the trials are not satisfactory for the FDA or regulatory authorities in other countries or jurisdiction to approve our BLA or other comparable application, the commercialization of our product candidates may be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right="320"/>
        <w:spacing w:after="0" w:line="277" w:lineRule="auto"/>
        <w:rPr>
          <w:sz w:val="20"/>
          <w:szCs w:val="20"/>
          <w:color w:val="auto"/>
        </w:rPr>
      </w:pPr>
      <w:r>
        <w:rPr>
          <w:rFonts w:ascii="Arial" w:cs="Arial" w:eastAsia="Arial" w:hAnsi="Arial"/>
          <w:sz w:val="18"/>
          <w:szCs w:val="18"/>
          <w:color w:val="auto"/>
        </w:rPr>
        <w:t>significantly delayed, or we may be required to expend significant additional resources, which may not be available to us, to conduct additional trials in support of potential approval of our product candidates.</w:t>
      </w:r>
    </w:p>
    <w:p>
      <w:pPr>
        <w:spacing w:after="0" w:line="49" w:lineRule="exact"/>
        <w:rPr>
          <w:sz w:val="20"/>
          <w:szCs w:val="20"/>
          <w:color w:val="auto"/>
        </w:rPr>
      </w:pPr>
    </w:p>
    <w:p>
      <w:pPr>
        <w:ind w:left="260" w:right="840"/>
        <w:spacing w:after="0" w:line="261" w:lineRule="auto"/>
        <w:rPr>
          <w:sz w:val="20"/>
          <w:szCs w:val="20"/>
          <w:color w:val="auto"/>
        </w:rPr>
      </w:pPr>
      <w:r>
        <w:rPr>
          <w:rFonts w:ascii="Arial" w:cs="Arial" w:eastAsia="Arial" w:hAnsi="Arial"/>
          <w:sz w:val="18"/>
          <w:szCs w:val="18"/>
          <w:b w:val="1"/>
          <w:bCs w:val="1"/>
          <w:i w:val="1"/>
          <w:iCs w:val="1"/>
          <w:color w:val="auto"/>
        </w:rPr>
        <w:t>Clinical trials are difficult to design and implement, can be lengthy and expensive, involve uncertain outcomes and may not ultimately be successful.</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It is impossible to predict when or if any of our current or future product candidates will prove effective and safe in humans or will receive regulatory approval. Before obtaining marketing approval from regulatory authorities for the sale of any product candidate, we must complete preclinical studies and then conduct extensive clinical trials to demonstrate the safety and efficacy of our product candidates in humans. Human clinical trials are expensive, can take many years to complete, and are difficult to design and implement, in part because they are subject to rigorous regulatory requirements.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There is a high failure rate for oncology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Success in preclinical studies or clinical trials may not be predictive of results in future clinical trials.</w:t>
      </w:r>
    </w:p>
    <w:p>
      <w:pPr>
        <w:spacing w:after="0" w:line="11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 xml:space="preserve">Results from preclinical studies and early clinical trials may not be predictive of the success of later clinical trials, and interim results of clinical trials are not necessarily predictive of final results. We have not yet begun clinical trials for our current product candidates, including SNS-101. For that reason, we do not know whether these candidates will be effective for the intended indications or safe in humans. Our product candidates may fail to show the desired safety and efficacy in preclinical or clinical development despite positive results observed in early preclinical studies or having successfully advanced through initial clinical trials. For example, although we have generated preclinical data suggesting that the conditionally active properties of SNS-101 have the potential to lower the risk of side effects such as cytokine release syndrome and enhance the anti-tumor effects of PD-1 blockade, those data were generated either from animal studies 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studies with human samples and there can be no assurances that similar results will be achieved in clinical trials of SNS-101 with human subjects. Any failure to establish sufficient efficacy and safety could cause us to abandon clinical development of our product candidates.</w:t>
      </w:r>
    </w:p>
    <w:p>
      <w:pPr>
        <w:spacing w:after="0" w:line="79" w:lineRule="exact"/>
        <w:rPr>
          <w:sz w:val="20"/>
          <w:szCs w:val="20"/>
          <w:color w:val="auto"/>
        </w:rPr>
      </w:pPr>
    </w:p>
    <w:p>
      <w:pPr>
        <w:ind w:right="60" w:firstLine="509"/>
        <w:spacing w:after="0" w:line="260" w:lineRule="auto"/>
        <w:rPr>
          <w:sz w:val="20"/>
          <w:szCs w:val="20"/>
          <w:color w:val="auto"/>
        </w:rPr>
      </w:pPr>
      <w:r>
        <w:rPr>
          <w:rFonts w:ascii="Arial" w:cs="Arial" w:eastAsia="Arial" w:hAnsi="Arial"/>
          <w:sz w:val="17"/>
          <w:szCs w:val="17"/>
          <w:color w:val="auto"/>
        </w:rPr>
        <w:t>Additionally, our planned clinical trial of SNS-101 will utilize an open-label study design. An “open-label” clinical trial is one where both the patient and investigator know whether the patient is receiving the investigational product candidate or either an existing approved therapy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65" w:lineRule="exact"/>
        <w:rPr>
          <w:sz w:val="20"/>
          <w:szCs w:val="20"/>
          <w:color w:val="auto"/>
        </w:rPr>
      </w:pPr>
    </w:p>
    <w:p>
      <w:pPr>
        <w:ind w:left="260" w:right="2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patients are enrolled and additional data become available, and are subject to audit and verification procedures that could result in material changes in the final data.</w:t>
      </w:r>
    </w:p>
    <w:p>
      <w:pPr>
        <w:spacing w:after="0" w:line="67" w:lineRule="exact"/>
        <w:rPr>
          <w:sz w:val="20"/>
          <w:szCs w:val="20"/>
          <w:color w:val="auto"/>
        </w:rPr>
      </w:pPr>
    </w:p>
    <w:p>
      <w:pPr>
        <w:ind w:right="60" w:firstLine="509"/>
        <w:spacing w:after="0" w:line="275" w:lineRule="auto"/>
        <w:rPr>
          <w:sz w:val="20"/>
          <w:szCs w:val="20"/>
          <w:color w:val="auto"/>
        </w:rPr>
      </w:pPr>
      <w:r>
        <w:rPr>
          <w:rFonts w:ascii="Arial" w:cs="Arial" w:eastAsia="Arial" w:hAnsi="Arial"/>
          <w:sz w:val="16"/>
          <w:szCs w:val="16"/>
          <w:color w:val="auto"/>
        </w:rPr>
        <w:t>We expect to publish from time to time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From time to time, we may also disclose interim data from our planned clinical trials. Interim data from clinical trials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reputation and business prospects. Further, disclosure of interim data by us or by our competitors could result in volatility in the price of our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right="20" w:firstLine="509"/>
        <w:spacing w:after="0" w:line="267"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60" w:lineRule="exact"/>
        <w:rPr>
          <w:sz w:val="20"/>
          <w:szCs w:val="20"/>
          <w:color w:val="auto"/>
        </w:rPr>
      </w:pPr>
    </w:p>
    <w:p>
      <w:pPr>
        <w:ind w:right="280" w:firstLine="509"/>
        <w:spacing w:after="0" w:line="256"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67" w:lineRule="exact"/>
        <w:rPr>
          <w:sz w:val="20"/>
          <w:szCs w:val="20"/>
          <w:color w:val="auto"/>
        </w:rPr>
      </w:pPr>
    </w:p>
    <w:p>
      <w:pPr>
        <w:ind w:left="260" w:right="140"/>
        <w:spacing w:after="0" w:line="291" w:lineRule="auto"/>
        <w:rPr>
          <w:sz w:val="20"/>
          <w:szCs w:val="20"/>
          <w:color w:val="auto"/>
        </w:rPr>
      </w:pPr>
      <w:r>
        <w:rPr>
          <w:rFonts w:ascii="Arial" w:cs="Arial" w:eastAsia="Arial" w:hAnsi="Arial"/>
          <w:sz w:val="17"/>
          <w:szCs w:val="17"/>
          <w:b w:val="1"/>
          <w:bCs w:val="1"/>
          <w:i w:val="1"/>
          <w:iCs w:val="1"/>
          <w:color w:val="auto"/>
        </w:rPr>
        <w:t>We depend on timely enrollment of patients in our planned clinical trials for our product candidates. If we encounter difficulties enrolling patients in our clinical trials, our clinical development activities could be delayed or otherwise adversely affected.</w:t>
      </w:r>
    </w:p>
    <w:p>
      <w:pPr>
        <w:spacing w:after="0" w:line="39"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Identifying and qualifying patients to participate in planned clinical trials of our product candidates is critical to our success. We may experience difficulties in patient enrollment in our planned clinical trials for a variety of reasons. The timely completion of clinical trials in accordance with their protocols depends, among other things, on our ability to enroll a sufficient number of patients who remain in the study until its conclusion. The enrollment of patients depends on many factors, including:</w:t>
      </w:r>
    </w:p>
    <w:p>
      <w:pPr>
        <w:spacing w:after="0" w:line="86"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patients with the disease or condition being studied;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w:t>
      </w:r>
    </w:p>
    <w:p>
      <w:pPr>
        <w:spacing w:after="0" w:line="117"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8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completion of their treatment; and</w:t>
      </w:r>
    </w:p>
    <w:p>
      <w:pPr>
        <w:spacing w:after="0" w:line="117"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factors we may not be able to control, such as current or potential pandemics, including the COVID-19 pandemic, that may limit patients, principal investigators or staff or clinical site available.</w:t>
      </w:r>
    </w:p>
    <w:p>
      <w:pPr>
        <w:spacing w:after="0" w:line="63" w:lineRule="exact"/>
        <w:rPr>
          <w:sz w:val="20"/>
          <w:szCs w:val="20"/>
          <w:color w:val="auto"/>
        </w:rPr>
      </w:pPr>
    </w:p>
    <w:p>
      <w:pPr>
        <w:jc w:val="both"/>
        <w:ind w:right="20" w:firstLine="509"/>
        <w:spacing w:after="0" w:line="342" w:lineRule="auto"/>
        <w:rPr>
          <w:sz w:val="20"/>
          <w:szCs w:val="20"/>
          <w:color w:val="auto"/>
        </w:rPr>
      </w:pPr>
      <w:r>
        <w:rPr>
          <w:rFonts w:ascii="Arial" w:cs="Arial" w:eastAsia="Arial" w:hAnsi="Arial"/>
          <w:sz w:val="16"/>
          <w:szCs w:val="16"/>
          <w:color w:val="auto"/>
        </w:rPr>
        <w:t>In addition, because the number of qualified clinical investigators is limited, we expect to conduct some of our clinical trials at the same clinical trial sites that some of our competitors use, which could further reduce the number of patients who are available for our clinical trials in these clinical trial sites.</w:t>
      </w:r>
    </w:p>
    <w:p>
      <w:pPr>
        <w:spacing w:after="0" w:line="2" w:lineRule="exact"/>
        <w:rPr>
          <w:sz w:val="20"/>
          <w:szCs w:val="20"/>
          <w:color w:val="auto"/>
        </w:rPr>
      </w:pPr>
    </w:p>
    <w:p>
      <w:pPr>
        <w:jc w:val="both"/>
        <w:ind w:right="180" w:firstLine="509"/>
        <w:spacing w:after="0" w:line="249" w:lineRule="auto"/>
        <w:rPr>
          <w:sz w:val="20"/>
          <w:szCs w:val="20"/>
          <w:color w:val="auto"/>
        </w:rPr>
      </w:pPr>
      <w:r>
        <w:rPr>
          <w:rFonts w:ascii="Arial" w:cs="Arial" w:eastAsia="Arial" w:hAnsi="Arial"/>
          <w:sz w:val="18"/>
          <w:szCs w:val="18"/>
          <w:color w:val="auto"/>
        </w:rPr>
        <w:t>Delays in patient enrollment may result in increased costs or may affect the timing or outcome of the planned clinical trials, which could prevent completion of these clinical trials and adversely affect our ability to advance the development of our product candidates. In addition, many of the factors that may lead to a delay in the commencement or completion of clinical trials may also ultimately lead to the denial of regulatory approval of our product candidates.</w:t>
      </w:r>
    </w:p>
    <w:p>
      <w:pPr>
        <w:spacing w:after="0" w:line="73" w:lineRule="exact"/>
        <w:rPr>
          <w:sz w:val="20"/>
          <w:szCs w:val="20"/>
          <w:color w:val="auto"/>
        </w:rPr>
      </w:pPr>
    </w:p>
    <w:p>
      <w:pPr>
        <w:ind w:left="260"/>
        <w:spacing w:after="0" w:line="308" w:lineRule="auto"/>
        <w:rPr>
          <w:sz w:val="20"/>
          <w:szCs w:val="20"/>
          <w:color w:val="auto"/>
        </w:rPr>
      </w:pPr>
      <w:r>
        <w:rPr>
          <w:rFonts w:ascii="Arial" w:cs="Arial" w:eastAsia="Arial" w:hAnsi="Arial"/>
          <w:sz w:val="17"/>
          <w:szCs w:val="17"/>
          <w:b w:val="1"/>
          <w:bCs w:val="1"/>
          <w:i w:val="1"/>
          <w:iCs w:val="1"/>
          <w:color w:val="auto"/>
        </w:rPr>
        <w:t>The market opportunities for certain of our product candidates may be limited to those patients who are ineligible for or have failed prior treatments and, therefore, may be small, and our projections regarding the size of the addressable market may be incorrect.</w:t>
      </w:r>
    </w:p>
    <w:p>
      <w:pPr>
        <w:spacing w:after="0" w:line="25"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Our immuno-oncology approach is based on novel ideas and technologies that are unproven and may not result in marketable products, which makes it difficult for us to predict the time and cost of product development and potential for regulatory approval. Cancer therapies are sometimes characterized as first line, second line or third line, and the FDA often approves new therapies initially only for third line use. When cancers are detected they are treated with first line of therapy with the intention of curing the cancer. This treatment generally consists of chemotherapy, radiation, antibody drugs, tumor targeted small molecules, or a combination of these. If the patient’s cancer relapses, then the patient is given a second line or third line therapy, which can consist of more chemotherapy, radiation, antibody drugs, tumor targeted small molecules, or a combination of these. Generally, the higher the line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right="400"/>
        <w:spacing w:after="0" w:line="277" w:lineRule="auto"/>
        <w:rPr>
          <w:sz w:val="20"/>
          <w:szCs w:val="20"/>
          <w:color w:val="auto"/>
        </w:rPr>
      </w:pPr>
      <w:r>
        <w:rPr>
          <w:rFonts w:ascii="Arial" w:cs="Arial" w:eastAsia="Arial" w:hAnsi="Arial"/>
          <w:sz w:val="18"/>
          <w:szCs w:val="18"/>
          <w:color w:val="auto"/>
        </w:rPr>
        <w:t>therapy, the lower the chance of a cure. With third or higher line, the goal of the therapy is to control the growth of the tumor and extend the life of the patient, as a cure is unlikely to happen. Patients are generally referred to clinical trials in these situations.</w:t>
      </w:r>
    </w:p>
    <w:p>
      <w:pPr>
        <w:spacing w:after="0" w:line="49"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There is no guarantee that any of our product candidates, even if approved, would be approved for an early line of therapy. In addition, we may have to conduct additional large randomized clinical trials prior to gaining approval for the earlier line of therapy.</w:t>
      </w:r>
    </w:p>
    <w:p>
      <w:pPr>
        <w:spacing w:after="0" w:line="7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size of the patient population subset of people with these cancers in a position to receive first, second, third and fourth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fewer than expected. Additionally, the potentially addressable patient population for our product candidates may be limited or may not be amenable to treatment with our product candidates. Even if we obtain significant market share for our product candidates, because the potential target populations are small, we may never achieve significant revenues without obtaining regulatory approval for additional indications or as part of earlier lines of therapy.</w:t>
      </w:r>
    </w:p>
    <w:p>
      <w:pPr>
        <w:spacing w:after="0" w:line="67" w:lineRule="exact"/>
        <w:rPr>
          <w:sz w:val="20"/>
          <w:szCs w:val="20"/>
          <w:color w:val="auto"/>
        </w:rPr>
      </w:pPr>
    </w:p>
    <w:p>
      <w:pPr>
        <w:ind w:left="260" w:right="520"/>
        <w:spacing w:after="0" w:line="256" w:lineRule="auto"/>
        <w:rPr>
          <w:sz w:val="20"/>
          <w:szCs w:val="20"/>
          <w:color w:val="auto"/>
        </w:rPr>
      </w:pPr>
      <w:r>
        <w:rPr>
          <w:rFonts w:ascii="Arial" w:cs="Arial" w:eastAsia="Arial" w:hAnsi="Arial"/>
          <w:sz w:val="18"/>
          <w:szCs w:val="18"/>
          <w:b w:val="1"/>
          <w:bCs w:val="1"/>
          <w:i w:val="1"/>
          <w:iCs w:val="1"/>
          <w:color w:val="auto"/>
        </w:rPr>
        <w:t>Adverse side effects or other safety risks associated with our product candidates could delay or preclude approval, cause us to suspend or discontinue clinical trials, cause us to abandon product candidates, could limit the commercial profile of an approved label, or could result in significant negative consequences following any potential marketing approval.</w:t>
      </w:r>
    </w:p>
    <w:p>
      <w:pPr>
        <w:spacing w:after="0" w:line="67"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Our clinical trials include cancer patients who are very sick and whose health is deteriorating, and we expect that additional clinical trials of our other product candidates will include similar patients with deteriorating health. It is possible that some of these patients may experience similar side effects and that additional patients may die during our clinical trials for various reasons. The causes of death could include receiving our product candidates because the patient’s disease is too advanced or because the patient experiences medical problems that may not be related to our product candidate. Even if the patient deaths are not related to our product candidate, the deaths could affect perceptions regarding the safety of our product candidate.</w:t>
      </w:r>
    </w:p>
    <w:p>
      <w:pPr>
        <w:spacing w:after="0" w:line="6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Patient deaths and severe side effects caused by our product candidates, or by products or product candidates of other companies that are thought to have similarities with our therapeutic candidates, could result in the delay, suspension, clinical hold or termination of our clinical trials, the FDA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revenues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53"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products, a number of potentially significant negative consequences could result, including:</w:t>
      </w:r>
    </w:p>
    <w:p>
      <w:pPr>
        <w:spacing w:after="0" w:line="67"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03" w:lineRule="exact"/>
        <w:rPr>
          <w:rFonts w:ascii="Arial" w:cs="Arial" w:eastAsia="Arial" w:hAnsi="Arial"/>
          <w:sz w:val="18"/>
          <w:szCs w:val="18"/>
          <w:color w:val="auto"/>
        </w:rPr>
      </w:pPr>
    </w:p>
    <w:p>
      <w:pPr>
        <w:ind w:left="1020" w:right="140" w:hanging="503"/>
        <w:spacing w:after="0" w:line="25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create a Risk Evaluation and Mitigation Strategy, or REMS, plan, which could include a medication guide outlining the risks of such side effects for distribution to patients, a communication plan for healthcare providers, and/or other elements to assure safe use, such as restricted distribution methods, patient registries and other risk minimization tools;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to remove such products from the marketplace;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and could significantly harm our business, results of operations, and prospects.</w:t>
      </w:r>
    </w:p>
    <w:p>
      <w:pPr>
        <w:spacing w:after="0" w:line="76" w:lineRule="exact"/>
        <w:rPr>
          <w:sz w:val="20"/>
          <w:szCs w:val="20"/>
          <w:color w:val="auto"/>
        </w:rPr>
      </w:pPr>
    </w:p>
    <w:p>
      <w:pPr>
        <w:ind w:left="260" w:right="600"/>
        <w:spacing w:after="0" w:line="248"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future collaboration partners from obtaining approvals for the commercialization of any other product candidate we develop.</w:t>
      </w:r>
    </w:p>
    <w:p>
      <w:pPr>
        <w:spacing w:after="0" w:line="74"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Any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right="20"/>
        <w:spacing w:after="0" w:line="261" w:lineRule="auto"/>
        <w:rPr>
          <w:sz w:val="20"/>
          <w:szCs w:val="20"/>
          <w:color w:val="auto"/>
        </w:rPr>
      </w:pPr>
      <w:r>
        <w:rPr>
          <w:rFonts w:ascii="Arial" w:cs="Arial" w:eastAsia="Arial" w:hAnsi="Arial"/>
          <w:sz w:val="17"/>
          <w:szCs w:val="17"/>
          <w:color w:val="auto"/>
        </w:rPr>
        <w:t>regulatory authorities in any jurisdiction and it is possible that none of the product candidates we may seek to develop in the future will ever obtain regulatory approval. We have no experience in filing and supporting the applications necessary to gain marketing approvals and expect to rely on third-party contract research organizations, or CROs, or regulatory consultants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efficacy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68"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56"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any product candidates we may develop, the commercial prospects for those product candidates may be harmed, and our ability to generate revenues may be materially impaired.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our Dependence on Third Parties</w:t>
      </w:r>
    </w:p>
    <w:p>
      <w:pPr>
        <w:spacing w:after="0" w:line="108" w:lineRule="exact"/>
        <w:rPr>
          <w:sz w:val="20"/>
          <w:szCs w:val="20"/>
          <w:color w:val="auto"/>
        </w:rPr>
      </w:pPr>
    </w:p>
    <w:p>
      <w:pPr>
        <w:ind w:left="260" w:right="80"/>
        <w:spacing w:after="0" w:line="331" w:lineRule="auto"/>
        <w:rPr>
          <w:sz w:val="20"/>
          <w:szCs w:val="20"/>
          <w:color w:val="auto"/>
        </w:rPr>
      </w:pPr>
      <w:r>
        <w:rPr>
          <w:rFonts w:ascii="Arial" w:cs="Arial" w:eastAsia="Arial" w:hAnsi="Arial"/>
          <w:sz w:val="15"/>
          <w:szCs w:val="15"/>
          <w:b w:val="1"/>
          <w:bCs w:val="1"/>
          <w:i w:val="1"/>
          <w:iCs w:val="1"/>
          <w:color w:val="auto"/>
        </w:rPr>
        <w:t>We currently rely, and expect to continue to rely, on third parties to conduct, supervise, and monitor our preclinical studies, as well as our planned clinical trials. If those third parties do not perform satisfactorily, including failing to meet deadlines for the completion of such planned clinical trials or failing to comply with regulatory requirements, we may be unable to obtain regulatory approval for our product candidates.</w:t>
      </w:r>
    </w:p>
    <w:p>
      <w:pPr>
        <w:spacing w:after="0" w:line="15"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We currently rely, and with respect to planned clinical trials expect to rely, on third-party contract research organizations, or CROs, academic institutions, study sites, clinical investigators and others to conduct, supervise, and monitor our preclinical studies and clinical trials, including our planned clinical trial of SNS-101. We expect to continue to rely on third parties, such as CROs, clinical data management organizations, medical institutions, and clinical investigators, to conduct our preclinical studies and clinical trials. Although we currently have or plan to enter into agreements governing the activities of these third parties, we have limited influence over their actual performance and control only certain aspects of their activities. The failure of these third parties to successfully carry out their contractual duties or meet expected deadlines, including as a result of the impact of the ongoing COVID-19 pandemic, could substantially harm our business because we may be delayed in completing or unable to complete the studies required to develop SNS-101 and other current and future product candidates, or we may not obtain marketing approval for, or commercialize, SNS-101 or our other current and future product candidates in a timely manner or at all.</w:t>
      </w:r>
    </w:p>
    <w:p>
      <w:pPr>
        <w:spacing w:after="0" w:line="65"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Moreover, these agreements might terminate for a variety of reasons, including a failure to perform by the third parties. If we need to enter into alternative arrangements our product development activities could be delayed and our business, financial condition, results of operations, stock price and prospects may be materially harmed.</w:t>
      </w:r>
    </w:p>
    <w:p>
      <w:pPr>
        <w:spacing w:after="0" w:line="67"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studies are conducted in accordance with the FDA’s GLP regulations,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the data generated in our trials may be deemed unreliable and the FDA or comparable foreign regulatory authorities may require us to perform additional studies.</w:t>
      </w:r>
    </w:p>
    <w:p>
      <w:pPr>
        <w:spacing w:after="0" w:line="16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39" w:name="page40"/>
    <w:bookmarkEnd w:id="39"/>
    <w:p>
      <w:pPr>
        <w:ind w:right="120" w:firstLine="509"/>
        <w:spacing w:after="0" w:line="288" w:lineRule="auto"/>
        <w:rPr>
          <w:sz w:val="20"/>
          <w:szCs w:val="20"/>
          <w:color w:val="auto"/>
        </w:rPr>
      </w:pPr>
      <w:r>
        <w:rPr>
          <w:rFonts w:ascii="Arial" w:cs="Arial" w:eastAsia="Arial" w:hAnsi="Arial"/>
          <w:sz w:val="16"/>
          <w:szCs w:val="16"/>
          <w:color w:val="auto"/>
        </w:rPr>
        <w:t>We cannot assure you that upon inspection by a given regulatory authority, such regulatory authority will determine that any of our planned clinical trials comply with the applicable regulatory requirements. In addition, our planned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ClinicalTrials.gov, within specified timeframes. Failure to do so can result in enforcement actions and adverse publicity.</w:t>
      </w:r>
    </w:p>
    <w:p>
      <w:pPr>
        <w:spacing w:after="0" w:line="44"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the development of our product candidates. If these third parties do not successfully carry out their contractual duties, meet expected deadlines or conduct our preclinical studies or clinical trials in accordance with regulatory requirements or our stated protocols, if these parties are adversely impacted by the ongoing COVID-19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current and future product candidates; we may not be able to, or may be delayed in our efforts to, successfully commercialize current and future product candidates; or we or they may be subject to regulatory enforcement actions. As a result, our results of operations and the commercial prospects for current and future product candidates may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spacing w:after="0" w:line="7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We collaborate with academic institutions for the development of our product candidates, including, for instance, our collaboration with the</w:t>
      </w:r>
    </w:p>
    <w:p>
      <w:pPr>
        <w:spacing w:after="0" w:line="12"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University of Washington pursuant to which we are conducting preclinical studies for our SNS-101 program. We may enter into additional collaborations for our other current or future product candidates or technologies. We cannot control the timing or quantity of resources that our existing or future collaborators will dedicate to research, preclinical and clinical development. Our collaborators may not perform their obligations according to our expectations or standards of quality. Our collaborators could terminate our existing agreements for a number of reasons.</w:t>
      </w:r>
    </w:p>
    <w:p>
      <w:pPr>
        <w:spacing w:after="0" w:line="79"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We will also rely on other third parties to store and distribute our product candidates for the clinical trials that we plan to conduct. Any performance failure on the part of our distributors could delay clinical development, marketing approval, or commercialization of current and future product candidates, which could result in additional losses and deprive us of potential product revenue.</w:t>
      </w:r>
    </w:p>
    <w:p>
      <w:pPr>
        <w:spacing w:after="0" w:line="74"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86" w:lineRule="exact"/>
        <w:rPr>
          <w:sz w:val="20"/>
          <w:szCs w:val="20"/>
          <w:color w:val="auto"/>
        </w:rPr>
      </w:pPr>
    </w:p>
    <w:p>
      <w:pPr>
        <w:ind w:left="260" w:right="240"/>
        <w:spacing w:after="0" w:line="291" w:lineRule="auto"/>
        <w:rPr>
          <w:sz w:val="20"/>
          <w:szCs w:val="20"/>
          <w:color w:val="auto"/>
        </w:rPr>
      </w:pPr>
      <w:r>
        <w:rPr>
          <w:rFonts w:ascii="Arial" w:cs="Arial" w:eastAsia="Arial" w:hAnsi="Arial"/>
          <w:sz w:val="17"/>
          <w:szCs w:val="17"/>
          <w:b w:val="1"/>
          <w:bCs w:val="1"/>
          <w:i w:val="1"/>
          <w:iCs w:val="1"/>
          <w:color w:val="auto"/>
        </w:rPr>
        <w:t>We expect that certain of our current and future product candidates, including SNS-101, will be evaluated in combination with third-party drugs, and we will have limited or no control over the supply, regulatory status, or regulatory approval of such drugs.</w:t>
      </w:r>
    </w:p>
    <w:p>
      <w:pPr>
        <w:spacing w:after="0" w:line="39"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We expect that certain of our current and future product candidates, including SNS-101, will be evaluated in combination with checkpoint inhibitors, or CPIs. Our ability to develop and ultimately commercialize current and future product candidates used in combination with CPIs or other compounds will depend on our ability to access such drugs on commercially reasonable terms for clinical trials and their availability for use with the commercialized product, if approved. We cannot be certain that we will be able to enter into a supply agreement for our planned clinical trials or that such potential future commercial relationships will provide us with a steady supply of such drugs on commercially reasonable terms or at all.</w:t>
      </w:r>
    </w:p>
    <w:p>
      <w:pPr>
        <w:spacing w:after="0" w:line="60"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Any failure to enter into successful commercial relationships, or inability to source or purchase CPIs or other potential combination agents in the market, may delay our development timelines, increase our costs and jeopardize our ability to develop SNS-101 and other current and future product candidates as potential combination therapies, which may materially harm our business, financial condition, results of operations, stock price and prospects. Moreover, the development of product candidates for use in combination with another product or product candidate may present challenges that are not encountered when developing single-agent product candidates. For example, the FDA may require us to use more complex clinical trial designs in order to evaluate the contribution of each product and product candidate to any observed effects. Additionally, following product approval, the FDA may require that products used in conjunction with each other be cross labeled for combined use. To the extent that we do not have rights to the other product, this may require us to work with a third party under terms unfavorable to us to satisfy such a requirement. Moreover, developments related to the other product may impact our clinical trials for the combination as well as our commercial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ind w:right="200"/>
        <w:spacing w:after="0" w:line="277" w:lineRule="auto"/>
        <w:rPr>
          <w:sz w:val="20"/>
          <w:szCs w:val="20"/>
          <w:color w:val="auto"/>
        </w:rPr>
      </w:pPr>
      <w:r>
        <w:rPr>
          <w:rFonts w:ascii="Arial" w:cs="Arial" w:eastAsia="Arial" w:hAnsi="Arial"/>
          <w:sz w:val="18"/>
          <w:szCs w:val="18"/>
          <w:color w:val="auto"/>
        </w:rPr>
        <w:t>prospects should we receive marketing approval. Such developments may include changes to the other product’s safety or efficacy profile, changes to the availability of the approved product, and changes to the standard of care.</w:t>
      </w:r>
    </w:p>
    <w:p>
      <w:pPr>
        <w:spacing w:after="0" w:line="49"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In the event that any potential future collaborator or supplier cannot continue to supply their products on commercially reasonable terms, we would need to identify alternatives for accessing such CPIs. Additionally, should the supply from any future collaborator or supplier be interrupted, delayed or otherwise be unavailable to us or our collaborators, our clinical collaborations may be delayed. In the event we are unable to source an alternative supply, or are unable to do so on commercially reasonable terms, our business, financial condition, results of operations, stock price and prospects may be materially harmed.</w:t>
      </w:r>
    </w:p>
    <w:p>
      <w:pPr>
        <w:spacing w:after="0" w:line="91" w:lineRule="exact"/>
        <w:rPr>
          <w:sz w:val="20"/>
          <w:szCs w:val="20"/>
          <w:color w:val="auto"/>
        </w:rPr>
      </w:pPr>
    </w:p>
    <w:p>
      <w:pPr>
        <w:ind w:left="260" w:right="20"/>
        <w:spacing w:after="0" w:line="243" w:lineRule="auto"/>
        <w:rPr>
          <w:sz w:val="20"/>
          <w:szCs w:val="20"/>
          <w:color w:val="auto"/>
        </w:rPr>
      </w:pPr>
      <w:r>
        <w:rPr>
          <w:rFonts w:ascii="Arial" w:cs="Arial" w:eastAsia="Arial" w:hAnsi="Arial"/>
          <w:sz w:val="18"/>
          <w:szCs w:val="18"/>
          <w:b w:val="1"/>
          <w:bCs w:val="1"/>
          <w:i w:val="1"/>
          <w:iCs w:val="1"/>
          <w:color w:val="auto"/>
        </w:rPr>
        <w:t>We currently rely on CMOs for the production of SNS-101 and we expect to rely on CMOs for our other product candidates.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9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currently have no plans to build our own clinical or commercial scale manufacturing capabilities for our TMAb product candidates. Instead, we expect to rely on third parties for the manufacture of our product candidates and related raw materials for future pre-clinical and clinical development, as well as for commercial manufacture if any of our product candidates receive marketing approval. We have entered into arrangements with a limited number of third-party contract manufacturing organizations, or CMOs, as part of our development of our TMAb product candidates. These CMOs will provide drug substance intermediate and drug product that will be subsequently labeled, packaged and distributed to our CROs. We may also enter into agreements with additional companies for the supply of substances for use in the development of our TMAb product candidates or any future product candidates or for the manufacture of such product candidates.</w:t>
      </w:r>
    </w:p>
    <w:p>
      <w:pPr>
        <w:spacing w:after="0" w:line="79"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 or our third-party suppliers or manufacturers may encounter shortages in the raw materials or active pharmaceutical ingredient (“API”) necessary to produce SNS-101 or any other current and future product candidates we may develop in the quantities needed for our clinical trials or, if any current or future product candidates we may develop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any current or future product candidates we may develop could delay, prevent or impair our development efforts and may have a material adverse effect on our business.</w:t>
      </w:r>
    </w:p>
    <w:p>
      <w:pPr>
        <w:spacing w:after="0" w:line="78"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facilities used by third-party manufacturers to manufacture SNS-101 or any other current or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develop, obtain regulatory approval for or market our product candidates, if approved.</w:t>
      </w:r>
    </w:p>
    <w:p>
      <w:pPr>
        <w:spacing w:after="0" w:line="77" w:lineRule="exact"/>
        <w:rPr>
          <w:sz w:val="20"/>
          <w:szCs w:val="20"/>
          <w:color w:val="auto"/>
        </w:rPr>
      </w:pPr>
    </w:p>
    <w:p>
      <w:pPr>
        <w:ind w:right="140" w:firstLine="509"/>
        <w:spacing w:after="0" w:line="261" w:lineRule="auto"/>
        <w:rPr>
          <w:sz w:val="20"/>
          <w:szCs w:val="20"/>
          <w:color w:val="auto"/>
        </w:rPr>
      </w:pPr>
      <w:r>
        <w:rPr>
          <w:rFonts w:ascii="Arial" w:cs="Arial" w:eastAsia="Arial" w:hAnsi="Arial"/>
          <w:sz w:val="17"/>
          <w:szCs w:val="17"/>
          <w:color w:val="auto"/>
        </w:rPr>
        <w:t>Finding new CMOs or third-party suppliers involves additional cost and requires our management’s time and focus. In addition, there is typically a transition period when a new CMO commences work. Although we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planned clinical trials and potential regulatory approval of any of our product candidates. Additionally, any changes implemented by a new CMO could delay completion of clinical trials, require the conduct of bridging clinical trials or studies, require the repetition of one or more clinical trials, increase clinical trial costs, delay approval of our current and future product candidates and jeopardize our ability to commence product sales and generate revenue.</w:t>
      </w:r>
    </w:p>
    <w:p>
      <w:pPr>
        <w:spacing w:after="0" w:line="64"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spacing w:after="0" w:line="280" w:lineRule="auto"/>
        <w:rPr>
          <w:sz w:val="20"/>
          <w:szCs w:val="20"/>
          <w:color w:val="auto"/>
        </w:rPr>
      </w:pPr>
      <w:r>
        <w:rPr>
          <w:rFonts w:ascii="Arial" w:cs="Arial" w:eastAsia="Arial" w:hAnsi="Arial"/>
          <w:sz w:val="16"/>
          <w:szCs w:val="16"/>
          <w:color w:val="auto"/>
        </w:rPr>
        <w:t>previously submitted to or approved by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candidates that such CMO owns independently. This would increase our reliance on such CMO or require us to obtain a license from such CMO in order to have another CMO manufacture our product candidates or products. In addition, in the case of CMOs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63"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As part of their manufacture of our product candidates, our CMO and third-party suppliers are expected to comply with and respect the intellectual property and proprietary rights of others. If our CMO or third-party supplier fails to acquire the proper licenses or otherwise infringes, misappropriates or otherwise violates the intellectual property or proprietary rights of others in the course of providing services to us, we may have to find alternative CMOs or third-party suppliers or defend against applicable claims, either of which could significantly impact our ability to develop, obtain regulatory approval for or commercialize our product candidates, if approved.</w:t>
      </w:r>
    </w:p>
    <w:p>
      <w:pPr>
        <w:spacing w:after="0" w:line="78" w:lineRule="exact"/>
        <w:rPr>
          <w:sz w:val="20"/>
          <w:szCs w:val="20"/>
          <w:color w:val="auto"/>
        </w:rPr>
      </w:pPr>
    </w:p>
    <w:p>
      <w:pPr>
        <w:ind w:right="240" w:firstLine="509"/>
        <w:spacing w:after="0" w:line="268" w:lineRule="auto"/>
        <w:rPr>
          <w:sz w:val="20"/>
          <w:szCs w:val="20"/>
          <w:color w:val="auto"/>
        </w:rPr>
      </w:pPr>
      <w:r>
        <w:rPr>
          <w:rFonts w:ascii="Arial" w:cs="Arial" w:eastAsia="Arial" w:hAnsi="Arial"/>
          <w:sz w:val="17"/>
          <w:szCs w:val="17"/>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Even if we are able to establish agreements with third-party manufacturers, reliance on third-party manufacturers entails additional risks, including:</w:t>
      </w:r>
    </w:p>
    <w:p>
      <w:pPr>
        <w:spacing w:after="0" w:line="140"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 party;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103" w:lineRule="exact"/>
        <w:rPr>
          <w:rFonts w:ascii="Arial" w:cs="Arial" w:eastAsia="Arial" w:hAnsi="Arial"/>
          <w:sz w:val="18"/>
          <w:szCs w:val="18"/>
          <w:color w:val="auto"/>
        </w:rPr>
      </w:pPr>
    </w:p>
    <w:p>
      <w:pPr>
        <w:ind w:left="1020" w:right="60" w:hanging="503"/>
        <w:spacing w:after="0" w:line="25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difficulties caused by unforeseen events that may delay the availability of one or more of the necessary raw materials or delay the manufacture of any current or future product candidates for use in clinical trials or for commercial supply, including as a result of the COVID-19 pandemic;</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104" w:lineRule="exact"/>
        <w:rPr>
          <w:sz w:val="20"/>
          <w:szCs w:val="20"/>
          <w:color w:val="auto"/>
        </w:rPr>
      </w:pPr>
    </w:p>
    <w:p>
      <w:pPr>
        <w:ind w:right="80" w:firstLine="509"/>
        <w:spacing w:after="0" w:line="267" w:lineRule="auto"/>
        <w:rPr>
          <w:sz w:val="20"/>
          <w:szCs w:val="20"/>
          <w:color w:val="auto"/>
        </w:rPr>
      </w:pPr>
      <w:r>
        <w:rPr>
          <w:rFonts w:ascii="Arial" w:cs="Arial" w:eastAsia="Arial" w:hAnsi="Arial"/>
          <w:sz w:val="17"/>
          <w:szCs w:val="17"/>
          <w:color w:val="auto"/>
        </w:rPr>
        <w:t>Any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CMO cannot perform as agreed, we may be required to replace such manufacturer and we may be unable to replace them on a timely basis or at all.</w:t>
      </w:r>
    </w:p>
    <w:p>
      <w:pPr>
        <w:spacing w:after="0" w:line="60" w:lineRule="exact"/>
        <w:rPr>
          <w:sz w:val="20"/>
          <w:szCs w:val="20"/>
          <w:color w:val="auto"/>
        </w:rPr>
      </w:pPr>
    </w:p>
    <w:p>
      <w:pPr>
        <w:jc w:val="both"/>
        <w:ind w:left="260" w:right="480"/>
        <w:spacing w:after="0" w:line="256" w:lineRule="auto"/>
        <w:rPr>
          <w:sz w:val="20"/>
          <w:szCs w:val="20"/>
          <w:color w:val="auto"/>
        </w:rPr>
      </w:pPr>
      <w:r>
        <w:rPr>
          <w:rFonts w:ascii="Arial" w:cs="Arial" w:eastAsia="Arial" w:hAnsi="Arial"/>
          <w:sz w:val="18"/>
          <w:szCs w:val="18"/>
          <w:b w:val="1"/>
          <w:bCs w:val="1"/>
          <w:i w:val="1"/>
          <w:iCs w:val="1"/>
          <w:color w:val="auto"/>
        </w:rPr>
        <w:t>Because we rely on a limited number of suppliers for the raw materials used in our drug candidates, any delay, shortage or interruption in the supply of such raw materials or contamination in our manufacturing process could lead to delays in the manufacture and supply of our drug candidates.</w:t>
      </w:r>
    </w:p>
    <w:p>
      <w:pPr>
        <w:spacing w:after="0" w:line="67" w:lineRule="exact"/>
        <w:rPr>
          <w:sz w:val="20"/>
          <w:szCs w:val="20"/>
          <w:color w:val="auto"/>
        </w:rPr>
      </w:pPr>
    </w:p>
    <w:p>
      <w:pPr>
        <w:ind w:right="40" w:firstLine="509"/>
        <w:spacing w:after="0" w:line="275" w:lineRule="auto"/>
        <w:rPr>
          <w:sz w:val="20"/>
          <w:szCs w:val="20"/>
          <w:color w:val="auto"/>
        </w:rPr>
      </w:pPr>
      <w:r>
        <w:rPr>
          <w:rFonts w:ascii="Arial" w:cs="Arial" w:eastAsia="Arial" w:hAnsi="Arial"/>
          <w:sz w:val="16"/>
          <w:szCs w:val="16"/>
          <w:color w:val="auto"/>
        </w:rPr>
        <w:t>We rely on third-parties to supply certain raw materials necessary to produce our drug candidates for preclinical studies and planned clinical trials. For example, we rely on third-parties to supply certain reagents, which are substances used in our manufacturing processes to bring about chemical or biological reactions, and other specialty materials and equipment, some of which are manufactured or supplied by small companies with limited resources. There are a small number of suppliers for certain raw materials that we use to manufacture our drug candidates. We work with our CMOs to purchase these materials from our suppliers who may not always have long-term supply agreements in place, which could expose us to a variety of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 Any significant delay in the supply of raw materials for our drug candidates for a preclinical study or a clinical trial due to the need to replace a third-party supplier could considerably delay completion of certain preclinical studies and/or clinical trials. Moreover, if we are unable to purchase sufficient raw materials after regulatory approval for our drug candidates, the commercial launch of our drug candidates could be delayed, or there could be a supply shortage, each of which could impair our ability to generate revenues from their sale.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ind w:right="40" w:firstLine="509"/>
        <w:spacing w:after="0" w:line="249" w:lineRule="auto"/>
        <w:rPr>
          <w:sz w:val="20"/>
          <w:szCs w:val="20"/>
          <w:color w:val="auto"/>
        </w:rPr>
      </w:pPr>
      <w:r>
        <w:rPr>
          <w:rFonts w:ascii="Arial" w:cs="Arial" w:eastAsia="Arial" w:hAnsi="Arial"/>
          <w:sz w:val="18"/>
          <w:szCs w:val="18"/>
          <w:color w:val="auto"/>
        </w:rPr>
        <w:t>In addition, a material shortage, contamination, recall or restriction on the use of substances in the manufacture of our drug candidates, or the failure of any of our key suppliers to deliver necessary components required for the manufacture of our drug candidates, could adversely impact or disrupt the commercial manufacture or the production of clinical material, which could materially and adversely affect our development timelines and our business, financial condition, results of operations, and future prospects.</w:t>
      </w:r>
    </w:p>
    <w:p>
      <w:pPr>
        <w:spacing w:after="0" w:line="86" w:lineRule="exact"/>
        <w:rPr>
          <w:sz w:val="20"/>
          <w:szCs w:val="20"/>
          <w:color w:val="auto"/>
        </w:rPr>
      </w:pPr>
    </w:p>
    <w:p>
      <w:pPr>
        <w:ind w:left="260" w:right="300"/>
        <w:spacing w:after="0" w:line="356" w:lineRule="auto"/>
        <w:rPr>
          <w:sz w:val="20"/>
          <w:szCs w:val="20"/>
          <w:color w:val="auto"/>
        </w:rPr>
      </w:pPr>
      <w:r>
        <w:rPr>
          <w:rFonts w:ascii="Arial" w:cs="Arial" w:eastAsia="Arial" w:hAnsi="Arial"/>
          <w:sz w:val="15"/>
          <w:szCs w:val="15"/>
          <w:b w:val="1"/>
          <w:bCs w:val="1"/>
          <w:i w:val="1"/>
          <w:iCs w:val="1"/>
          <w:color w:val="auto"/>
        </w:rPr>
        <w:t>We have entered, and may in the future enter into, partnership agreements with third parties for the development and commercialization of our product candidates. Our prospects with respect to those product candidates will depend in significant part on the success of those collaborations.</w:t>
      </w:r>
    </w:p>
    <w:p>
      <w:pPr>
        <w:spacing w:after="0" w:line="1"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The advancement of our product candidates and development programs and the potential commercialization of our current and future product candidates will require substantial additional cash to fund expenses. For some of our programs, we may decide to collaborate with additional pharmaceutical and biotechnology companies with respect to development and potential commercialization. As such, we have entered into and may seek to enter into additional collaborations or partnerships with third parties for the development and potential commercialization of our product candidates.</w:t>
      </w:r>
    </w:p>
    <w:p>
      <w:pPr>
        <w:spacing w:after="0" w:line="4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face significant competition in seeking appropriate collaborators. Should we seek to collaborate with a third party with respect to a prospective development program, we may not be able to locate a suitable partner or to enter into an agreement on commercially reasonable terms or at all. Even if we succeed in securing partners for the development and commercialization of our product candidates, we have limited control over the time and resources that our partners may dedicate to the development and commercialization of our product candidates. In order to optimize the launch and market penetration of certain of our future product candidates, we may enter into distribution and marketing agreements with pharmaceutical industry leaders. For these product candidates, we would not market our products alone once they have obtained marketing authorization. These partnerships pose a number of risks, including the following:</w:t>
      </w:r>
    </w:p>
    <w:p>
      <w:pPr>
        <w:spacing w:after="0" w:line="93" w:lineRule="exact"/>
        <w:rPr>
          <w:sz w:val="20"/>
          <w:szCs w:val="20"/>
          <w:color w:val="auto"/>
        </w:rPr>
      </w:pPr>
    </w:p>
    <w:p>
      <w:pPr>
        <w:ind w:left="1020" w:right="74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partners may not have sufficient resources or decide not to devote the necessary resources due to internal constraints such as budget limitations, lack of human resources or a change in strategic focus;</w:t>
      </w:r>
    </w:p>
    <w:p>
      <w:pPr>
        <w:spacing w:after="0" w:line="6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partners may believe our intellectual property is not valid or is unenforceable or the product candidate infringes on the intellectual property rights of others;</w:t>
      </w:r>
    </w:p>
    <w:p>
      <w:pPr>
        <w:spacing w:after="0" w:line="48"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partners may dispute their responsibility to conduct development and commercialization activities pursuant to the applicable collaboration, including the payment of related costs or the division of any revenues;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partners may decide to pursue a competitive product developed outside of the collaboration arrangement;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partners may not be able to obtain, or believe they cannot obtain, the necessary regulatory approvals; or</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partners may delay the development or commercialization of our product candidates in favor of developing or commercializing another party’s product candidate.</w:t>
      </w:r>
    </w:p>
    <w:p>
      <w:pPr>
        <w:spacing w:after="0" w:line="76"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Thus, partnership agreements may not lead to development, regulatory approval or successful commercialization of product candidates in the most efficient manner or at all. Some partnership agreements are terminable without cause on short notice. Once a partnership agreement is signed, it may not lead to regulatory approval and commercialization of a product candidate. We also face competition in seeking out partners. If we are unable to secure new collaborations that achieve the collaborator’s objectives and meet our expectations, we may be unable to advance our product candidates and may not generate meaningful revenues.</w:t>
      </w:r>
    </w:p>
    <w:p>
      <w:pPr>
        <w:spacing w:after="0" w:line="78"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w:t>
      </w:r>
    </w:p>
    <w:p>
      <w:pPr>
        <w:spacing w:after="0" w:line="49"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ind w:right="160"/>
        <w:spacing w:after="0" w:line="249" w:lineRule="auto"/>
        <w:rPr>
          <w:sz w:val="20"/>
          <w:szCs w:val="20"/>
          <w:color w:val="auto"/>
        </w:rPr>
      </w:pPr>
      <w:r>
        <w:rPr>
          <w:rFonts w:ascii="Arial" w:cs="Arial" w:eastAsia="Arial" w:hAnsi="Arial"/>
          <w:sz w:val="18"/>
          <w:szCs w:val="18"/>
          <w:color w:val="auto"/>
        </w:rPr>
        <w:t>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08" w:lineRule="exact"/>
        <w:rPr>
          <w:sz w:val="20"/>
          <w:szCs w:val="20"/>
          <w:color w:val="auto"/>
        </w:rPr>
      </w:pPr>
    </w:p>
    <w:p>
      <w:pPr>
        <w:jc w:val="both"/>
        <w:ind w:left="260" w:right="420"/>
        <w:spacing w:after="0" w:line="366" w:lineRule="auto"/>
        <w:rPr>
          <w:sz w:val="20"/>
          <w:szCs w:val="20"/>
          <w:color w:val="auto"/>
        </w:rPr>
      </w:pPr>
      <w:r>
        <w:rPr>
          <w:rFonts w:ascii="Arial" w:cs="Arial" w:eastAsia="Arial" w:hAnsi="Arial"/>
          <w:sz w:val="15"/>
          <w:szCs w:val="15"/>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ind w:right="20" w:firstLine="509"/>
        <w:spacing w:after="0" w:line="274"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Currently, all of our product candidates are in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Whether the results from our clinical trials will suffice to obtain approval will be a review issue and the FDA may not grant approval and may require that we conduct one or more controlled clinical trials to obtain approval. Additionally, even if FDA does grant approval for one or more of our product candidates, it may be for a more narrow indication than we seek.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w:t>
      </w:r>
    </w:p>
    <w:p>
      <w:pPr>
        <w:spacing w:after="0" w:line="7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67"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BLA, premarket approval application,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70" w:lineRule="exact"/>
        <w:rPr>
          <w:sz w:val="20"/>
          <w:szCs w:val="20"/>
          <w:color w:val="auto"/>
        </w:rPr>
      </w:pPr>
    </w:p>
    <w:p>
      <w:pPr>
        <w:ind w:left="1020" w:right="2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preclinical studies or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studies;</w:t>
      </w:r>
    </w:p>
    <w:p>
      <w:pPr>
        <w:spacing w:after="0" w:line="117" w:lineRule="exact"/>
        <w:rPr>
          <w:rFonts w:ascii="Arial" w:cs="Arial" w:eastAsia="Arial" w:hAnsi="Arial"/>
          <w:sz w:val="18"/>
          <w:szCs w:val="18"/>
          <w:color w:val="auto"/>
        </w:rPr>
      </w:pPr>
    </w:p>
    <w:p>
      <w:pPr>
        <w:ind w:left="1020" w:right="100" w:hanging="503"/>
        <w:spacing w:after="0" w:line="291"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4" w:name="page45"/>
    <w:bookmarkEnd w:id="44"/>
    <w:p>
      <w:pPr>
        <w:ind w:left="1020" w:right="80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48"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76"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such that our clinical data are insufficient for approval.</w:t>
      </w:r>
    </w:p>
    <w:p>
      <w:pPr>
        <w:spacing w:after="0" w:line="63"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91"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63" w:lineRule="exact"/>
        <w:rPr>
          <w:sz w:val="20"/>
          <w:szCs w:val="20"/>
          <w:color w:val="auto"/>
        </w:rPr>
      </w:pPr>
    </w:p>
    <w:p>
      <w:pPr>
        <w:ind w:left="260" w:right="5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guarantee that we will be successful in obtaining regulatory approval of our product candidates in other jurisdictions.</w:t>
      </w:r>
    </w:p>
    <w:p>
      <w:pPr>
        <w:spacing w:after="0" w:line="49"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We may submit marketing applications in countries other than the United States.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63"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66" w:lineRule="exact"/>
        <w:rPr>
          <w:sz w:val="20"/>
          <w:szCs w:val="20"/>
          <w:color w:val="auto"/>
        </w:rPr>
      </w:pPr>
    </w:p>
    <w:p>
      <w:pPr>
        <w:ind w:left="260" w:right="160"/>
        <w:spacing w:after="0" w:line="314" w:lineRule="auto"/>
        <w:rPr>
          <w:sz w:val="20"/>
          <w:szCs w:val="20"/>
          <w:color w:val="auto"/>
        </w:rPr>
      </w:pPr>
      <w:r>
        <w:rPr>
          <w:rFonts w:ascii="Arial" w:cs="Arial" w:eastAsia="Arial" w:hAnsi="Arial"/>
          <w:sz w:val="15"/>
          <w:szCs w:val="15"/>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4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If the FDA or a comparable foreign regulatory authority approves any of our product candidates, the manufacturing processes, labeling, packaging, distribution, storage, advertising, promotion, import, export, recordkeeping, monitoring, and reporting for our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w:t>
      </w:r>
    </w:p>
    <w:p>
      <w:pPr>
        <w:spacing w:after="0" w:line="64"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The FDA may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42" w:lineRule="exact"/>
        <w:rPr>
          <w:sz w:val="20"/>
          <w:szCs w:val="20"/>
          <w:color w:val="auto"/>
        </w:rPr>
      </w:pPr>
    </w:p>
    <w:p>
      <w:pPr>
        <w:ind w:left="1020" w:right="8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ind w:left="1020" w:right="48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revision to the labeling, including limitations on approved uses or the addition of additional warnings, contraindications or other safety information, including boxed warnings;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could adversely affect our business, prospects and ability to achieve or sustain profitability.</w:t>
      </w:r>
    </w:p>
    <w:p>
      <w:pPr>
        <w:spacing w:after="0" w:line="73" w:lineRule="exact"/>
        <w:rPr>
          <w:sz w:val="20"/>
          <w:szCs w:val="20"/>
          <w:color w:val="auto"/>
        </w:rPr>
      </w:pPr>
    </w:p>
    <w:p>
      <w:pPr>
        <w:ind w:left="260" w:right="400"/>
        <w:spacing w:after="0" w:line="256" w:lineRule="auto"/>
        <w:rPr>
          <w:sz w:val="20"/>
          <w:szCs w:val="20"/>
          <w:color w:val="auto"/>
        </w:rPr>
      </w:pPr>
      <w:r>
        <w:rPr>
          <w:rFonts w:ascii="Arial" w:cs="Arial" w:eastAsia="Arial" w:hAnsi="Arial"/>
          <w:sz w:val="18"/>
          <w:szCs w:val="18"/>
          <w:b w:val="1"/>
          <w:bCs w:val="1"/>
          <w:i w:val="1"/>
          <w:iCs w:val="1"/>
          <w:color w:val="auto"/>
        </w:rPr>
        <w:t>If we are unable to successfully validate, develop and obtain regulatory approval for any required companion diagnostic tests for our product candidates or experience significant delays in doing so, we may fail to obtain approval or may not realize the full commercial potential of these product candidates.</w:t>
      </w:r>
    </w:p>
    <w:p>
      <w:pPr>
        <w:spacing w:after="0" w:line="67"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connection with the clinical development of our product candidates for certain indications, we may develop or engage third parties to develop or obtain access to in vitro companion diagnostic tests to identify patient subsets within a disease category who may derive benefit from our product candidates. Such companion diagnostics may be used during our clinical trials and may be required in connection with the FDA approval of our product candidates. To be successful, we or our collaborators will need to address a number of scientific, technical, regulatory and logistical challenges. Companion diagnostics are subject to regulation by the FDA, EMA and other regulatory authorities as medical devices and require separate regulatory approval prior to commercialization.</w:t>
      </w:r>
    </w:p>
    <w:p>
      <w:pPr>
        <w:spacing w:after="0" w:line="77"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We may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We and our future collaborators may encounter difficulties in developing and obtaining approval for the companion diagnostics, including issues relating to selectivity/specificity, analytical validation, reproducibility, or clinical validation of companion diagnostics. We and our future collaborators also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marketing approval or such approval may be delayed, and we may not realize the full commercial potential of any of these therapeutics that obtain marketing approval. As a result, our business, results of operations and financial condition could be materially harmed. In addition, a diagnostic company with whom we contract may decide to discontinue developing,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55" w:lineRule="exact"/>
        <w:rPr>
          <w:sz w:val="20"/>
          <w:szCs w:val="20"/>
          <w:color w:val="auto"/>
        </w:rPr>
      </w:pPr>
    </w:p>
    <w:p>
      <w:pPr>
        <w:ind w:left="260" w:right="80"/>
        <w:spacing w:after="0" w:line="331" w:lineRule="auto"/>
        <w:rPr>
          <w:sz w:val="20"/>
          <w:szCs w:val="20"/>
          <w:color w:val="auto"/>
        </w:rPr>
      </w:pPr>
      <w:r>
        <w:rPr>
          <w:rFonts w:ascii="Arial" w:cs="Arial" w:eastAsia="Arial" w:hAnsi="Arial"/>
          <w:sz w:val="15"/>
          <w:szCs w:val="15"/>
          <w:b w:val="1"/>
          <w:bCs w:val="1"/>
          <w:i w:val="1"/>
          <w:iCs w:val="1"/>
          <w:color w:val="auto"/>
        </w:rPr>
        <w:t>Our relationships with customers, healthcare professionals, and third-party payors will be subject to applicable anti-kickback, fraud and abuse and other healthcare laws and regulations, which could expose us to significant penalties, including criminal sanctions, administrative civil penalties, exclusion from government healthcare programs, contractual damages, reputational harm and diminished profits and future earnings.</w:t>
      </w:r>
    </w:p>
    <w:p>
      <w:pPr>
        <w:spacing w:after="0" w:line="15"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Our current and future business operations and activities may subject us to additional healthcare statutory and regulatory requirements and enforcement by the federal government and the states and foreign governments in which we conduct our business. Healthcare providers and third-party payors play a primary role in the recommendation and prescription of any product candidates for which we obtain marketing approval. Our current and future arrangements with healthcare professionals, third-party payors and customers may expose us to broadly applicable fraud and abuse and other healthcare laws and regulations that may constrain the business or financial arrangements and relationships through which we research as well as market, sell and distribute our product candidates for which we obtain marketing approval. These laws and regulations may restrict or prohibit a wide range of ownership,</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6" w:name="page47"/>
    <w:bookmarkEnd w:id="46"/>
    <w:p>
      <w:pPr>
        <w:ind w:right="480"/>
        <w:spacing w:after="0" w:line="277" w:lineRule="auto"/>
        <w:rPr>
          <w:sz w:val="20"/>
          <w:szCs w:val="20"/>
          <w:color w:val="auto"/>
        </w:rPr>
      </w:pPr>
      <w:r>
        <w:rPr>
          <w:rFonts w:ascii="Arial" w:cs="Arial" w:eastAsia="Arial" w:hAnsi="Arial"/>
          <w:sz w:val="18"/>
          <w:szCs w:val="18"/>
          <w:color w:val="auto"/>
        </w:rPr>
        <w:t>pricing, discounting, marketing and promotion, structuring and commission(s), certain customer incentive programs and other business arrangements generally. Restrictions under applicable federal and state healthcare laws and regulations, include the following:</w:t>
      </w:r>
    </w:p>
    <w:p>
      <w:pPr>
        <w:spacing w:after="0" w:line="49" w:lineRule="exact"/>
        <w:rPr>
          <w:sz w:val="20"/>
          <w:szCs w:val="20"/>
          <w:color w:val="auto"/>
        </w:rPr>
      </w:pPr>
    </w:p>
    <w:p>
      <w:pPr>
        <w:ind w:left="1020" w:right="40" w:hanging="503"/>
        <w:spacing w:after="0" w:line="263"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w:t>
      </w:r>
    </w:p>
    <w:p>
      <w:pPr>
        <w:spacing w:after="0" w:line="64" w:lineRule="exact"/>
        <w:rPr>
          <w:rFonts w:ascii="Arial" w:cs="Arial" w:eastAsia="Arial" w:hAnsi="Arial"/>
          <w:sz w:val="17"/>
          <w:szCs w:val="17"/>
          <w:color w:val="auto"/>
        </w:rPr>
      </w:pPr>
    </w:p>
    <w:p>
      <w:pPr>
        <w:ind w:left="1020" w:right="80" w:hanging="503"/>
        <w:spacing w:after="0" w:line="24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civil and criminal false claims, including the federal False Claims Act, or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FCA;</w:t>
      </w:r>
    </w:p>
    <w:p>
      <w:pPr>
        <w:spacing w:after="0" w:line="92" w:lineRule="exact"/>
        <w:rPr>
          <w:rFonts w:ascii="Arial" w:cs="Arial" w:eastAsia="Arial" w:hAnsi="Arial"/>
          <w:sz w:val="18"/>
          <w:szCs w:val="18"/>
          <w:color w:val="auto"/>
        </w:rPr>
      </w:pPr>
    </w:p>
    <w:p>
      <w:pPr>
        <w:ind w:left="1020" w:right="20" w:hanging="503"/>
        <w:spacing w:after="0" w:line="245"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7" w:lineRule="exact"/>
        <w:rPr>
          <w:rFonts w:ascii="Arial" w:cs="Arial" w:eastAsia="Arial" w:hAnsi="Arial"/>
          <w:sz w:val="18"/>
          <w:szCs w:val="18"/>
          <w:color w:val="auto"/>
        </w:rPr>
      </w:pPr>
    </w:p>
    <w:p>
      <w:pPr>
        <w:ind w:left="1020" w:right="20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the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w:t>
      </w:r>
    </w:p>
    <w:p>
      <w:pPr>
        <w:spacing w:after="0" w:line="77" w:lineRule="exact"/>
        <w:rPr>
          <w:rFonts w:ascii="Arial" w:cs="Arial" w:eastAsia="Arial" w:hAnsi="Arial"/>
          <w:sz w:val="18"/>
          <w:szCs w:val="18"/>
          <w:color w:val="auto"/>
        </w:rPr>
      </w:pPr>
    </w:p>
    <w:p>
      <w:pPr>
        <w:ind w:left="1020" w:right="80" w:hanging="503"/>
        <w:spacing w:after="0" w:line="245"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impose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w:t>
      </w:r>
    </w:p>
    <w:p>
      <w:pPr>
        <w:spacing w:after="0" w:line="91" w:lineRule="exact"/>
        <w:rPr>
          <w:rFonts w:ascii="Arial" w:cs="Arial" w:eastAsia="Arial" w:hAnsi="Arial"/>
          <w:sz w:val="18"/>
          <w:szCs w:val="18"/>
          <w:color w:val="auto"/>
        </w:rPr>
      </w:pPr>
    </w:p>
    <w:p>
      <w:pPr>
        <w:ind w:left="1020" w:hanging="503"/>
        <w:spacing w:after="0" w:line="280"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Some state and local laws require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w:t>
      </w:r>
    </w:p>
    <w:p>
      <w:pPr>
        <w:spacing w:after="0" w:line="50"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it is possible that some of our business activities, including compensation of physicians with stock or stock options, could, despite efforts to comply, be subject to challenge under current or future statutes, regulations or case law interpreting applicable fraud and abuse or other healthcare laws and regulations. Ensuring that our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our operations, any of which could adversely affect our ability to operate our business and our results of operations.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In addition, the approval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7" w:name="page48"/>
    <w:bookmarkEnd w:id="47"/>
    <w:p>
      <w:pPr>
        <w:ind w:right="560"/>
        <w:spacing w:after="0" w:line="277" w:lineRule="auto"/>
        <w:rPr>
          <w:sz w:val="20"/>
          <w:szCs w:val="20"/>
          <w:color w:val="auto"/>
        </w:rPr>
      </w:pPr>
      <w:r>
        <w:rPr>
          <w:rFonts w:ascii="Arial" w:cs="Arial" w:eastAsia="Arial" w:hAnsi="Arial"/>
          <w:sz w:val="18"/>
          <w:szCs w:val="18"/>
          <w:color w:val="auto"/>
        </w:rPr>
        <w:t>commercialization of any of our product candidates outside the United States will also likely subject us to foreign equivalents of the healthcare laws mentioned above, among other foreign laws.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U.S.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a number of legislative initiatives to contain healthcare costs. For example, in March 2010, Patient Protection and Affordable Care Act, as amended by the Health Care and Education Reconciliation Act, or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66"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There have been executive, judicial and Congressional challenges to certain aspects of the ACA. For example, former President Trump signed several Executive Orders and other directives designed to eliminate the implementation of certain provisions of the ACA or otherwise circumvent some of the requirements for health insurance mandated by the ACA. Concurrently, Congress considered legislation to repeal or repeal and replace all or part of the ACA. While Congress has not passed comprehensive repeal legislation to date, the Tax Act, repealed,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the healthcare reform measures of the Biden administration will impact the ACA and our business.</w:t>
      </w:r>
    </w:p>
    <w:p>
      <w:pPr>
        <w:spacing w:after="0" w:line="6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until 2031 unless additional Congressional action is taken. However, the Medicare sequester reductions under the Budget Control Act of 2011 have been suspended from May 1, 2020 through March 31, 2022 due to the COVID-19 pandemic. Under current legislation, the actual reduction in Medicare payments will vary from 1% in 2022 to up to 4% in the final fiscal year of this sequester.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78"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former Trump administration used several means to propose or implement drug pricing reform including through federal budget proposals, executive orders and policy initiatives In July 2021, the Biden administration released an executive order,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8" w:name="page49"/>
    <w:bookmarkEnd w:id="48"/>
    <w:p>
      <w:pPr>
        <w:ind w:right="120"/>
        <w:spacing w:after="0" w:line="261" w:lineRule="auto"/>
        <w:rPr>
          <w:sz w:val="20"/>
          <w:szCs w:val="20"/>
          <w:color w:val="auto"/>
        </w:rPr>
      </w:pPr>
      <w:r>
        <w:rPr>
          <w:rFonts w:ascii="Arial" w:cs="Arial" w:eastAsia="Arial" w:hAnsi="Arial"/>
          <w:sz w:val="17"/>
          <w:szCs w:val="17"/>
          <w:color w:val="auto"/>
        </w:rPr>
        <w:t>“Promoting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w:t>
      </w:r>
    </w:p>
    <w:p>
      <w:pPr>
        <w:spacing w:after="0" w:line="7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9"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particularly in light of the new U.S. presidential administration,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in light of the higher proportion of SCD patients that utilize Medicare and Medicaid programs to pay for treatments.</w:t>
      </w:r>
    </w:p>
    <w:p>
      <w:pPr>
        <w:spacing w:after="0" w:line="74" w:lineRule="exact"/>
        <w:rPr>
          <w:sz w:val="20"/>
          <w:szCs w:val="20"/>
          <w:color w:val="auto"/>
        </w:rPr>
      </w:pPr>
    </w:p>
    <w:p>
      <w:pPr>
        <w:ind w:right="120" w:firstLine="509"/>
        <w:spacing w:after="0" w:line="303" w:lineRule="auto"/>
        <w:rPr>
          <w:sz w:val="20"/>
          <w:szCs w:val="20"/>
          <w:color w:val="auto"/>
        </w:rPr>
      </w:pPr>
      <w:r>
        <w:rPr>
          <w:rFonts w:ascii="Arial" w:cs="Arial" w:eastAsia="Arial" w:hAnsi="Arial"/>
          <w:sz w:val="16"/>
          <w:szCs w:val="16"/>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3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42"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0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76" w:lineRule="exact"/>
        <w:rPr>
          <w:sz w:val="20"/>
          <w:szCs w:val="20"/>
          <w:color w:val="auto"/>
        </w:rPr>
      </w:pPr>
    </w:p>
    <w:p>
      <w:pPr>
        <w:ind w:left="260" w:right="220"/>
        <w:spacing w:after="0" w:line="248" w:lineRule="auto"/>
        <w:rPr>
          <w:sz w:val="20"/>
          <w:szCs w:val="20"/>
          <w:color w:val="auto"/>
        </w:rPr>
      </w:pPr>
      <w:r>
        <w:rPr>
          <w:rFonts w:ascii="Arial" w:cs="Arial" w:eastAsia="Arial" w:hAnsi="Arial"/>
          <w:sz w:val="18"/>
          <w:szCs w:val="18"/>
          <w:b w:val="1"/>
          <w:bCs w:val="1"/>
          <w:i w:val="1"/>
          <w:iCs w:val="1"/>
          <w:color w:val="auto"/>
        </w:rPr>
        <w:t>We are subject to the U.K. Bribery Act 2010, or the Bribery Act, the U.S. Foreign Corrupt Practices Act of 1977, as amended, or the FCPA, and other anti-corruption laws, as well as export control laws, import and customs laws, trade and economic sanctions laws and other laws governing our operations.</w:t>
      </w:r>
    </w:p>
    <w:p>
      <w:pPr>
        <w:spacing w:after="0" w:line="8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9" w:name="page50"/>
    <w:bookmarkEnd w:id="49"/>
    <w:p>
      <w:pPr>
        <w:jc w:val="both"/>
        <w:ind w:right="20" w:firstLine="509"/>
        <w:spacing w:after="0" w:line="249"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w:t>
      </w:r>
    </w:p>
    <w:p>
      <w:pPr>
        <w:spacing w:after="0" w:line="86"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66" w:lineRule="exact"/>
        <w:rPr>
          <w:sz w:val="20"/>
          <w:szCs w:val="20"/>
          <w:color w:val="auto"/>
        </w:rPr>
      </w:pPr>
    </w:p>
    <w:p>
      <w:pPr>
        <w:ind w:left="260" w:right="3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9"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72"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08" w:lineRule="exact"/>
        <w:rPr>
          <w:sz w:val="20"/>
          <w:szCs w:val="20"/>
          <w:color w:val="auto"/>
        </w:rPr>
      </w:pPr>
    </w:p>
    <w:p>
      <w:pPr>
        <w:ind w:left="26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for our product candidates, or enter into sales, marketing and distribution agreements with third parties, we may not be successful in commercializing our product candidates, if approved.</w:t>
      </w:r>
    </w:p>
    <w:p>
      <w:pPr>
        <w:spacing w:after="0" w:line="25"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currently plan to work to build our global commercialization capabilities internally over time such that we are able to commercialize any product candidate for which we may obtain regulatory approval. However, we currently have no sales, marketing or distribution capabilities and have no experience in marketing or distributing pharmaceutical products. To achieve commercial success for any product candidate for which we may obtain marketing approval, we will need to expand our sales and marketing organization and establish logistics and distribution processes to commercialize and deliver our product candidates to patients and healthcare providers. The development of sales, marketing and distribution capabilities will require substantial resources, will be time-consuming and could delay any product launch.</w:t>
      </w:r>
    </w:p>
    <w:p>
      <w:pPr>
        <w:spacing w:after="0" w:line="77"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would have to pursue collaborative arrangements regarding the sales and marketing of our products. However, we may not be successful in entering into arrangements with third parties to sell, market and distribute our product candidates or may be unable to do so on terms that are favorable to us, or if we are able to do so, that they would be effective and successful in commercializing our products. Our product revenues and our profitability, if any, would likely to be lower than if we were to sell, market and distribute any product candidates that we develop ourselves. In addition, we would have limited control over such third parties, and any of them may fail to devote the necessary resources and attention to sell and market our product candidates effectively.</w:t>
      </w:r>
    </w:p>
    <w:p>
      <w:pPr>
        <w:spacing w:after="0" w:line="79"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 in the United States or overseas.</w:t>
      </w:r>
    </w:p>
    <w:p>
      <w:pPr>
        <w:spacing w:after="0" w:line="63" w:lineRule="exact"/>
        <w:rPr>
          <w:sz w:val="20"/>
          <w:szCs w:val="20"/>
          <w:color w:val="auto"/>
        </w:rPr>
      </w:pPr>
    </w:p>
    <w:p>
      <w:pPr>
        <w:ind w:left="260" w:right="100"/>
        <w:spacing w:after="0" w:line="277" w:lineRule="auto"/>
        <w:rPr>
          <w:sz w:val="20"/>
          <w:szCs w:val="20"/>
          <w:color w:val="auto"/>
        </w:rPr>
      </w:pPr>
      <w:r>
        <w:rPr>
          <w:rFonts w:ascii="Arial" w:cs="Arial" w:eastAsia="Arial" w:hAnsi="Arial"/>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ind w:firstLine="509"/>
        <w:spacing w:after="0" w:line="244"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w:t>
      </w:r>
    </w:p>
    <w:p>
      <w:pPr>
        <w:spacing w:after="0" w:line="93"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In addition to the current standard of care treatments for patients with cancers, numerous commercial and academic preclinical studies and clinical trials are being undertaken by a large number of parties to assess novel technologies and product candidates in the field of immuno-oncology. Results from these studies and trials have fueled increasing levels of interest in the field of immuno-oncology.</w:t>
      </w:r>
    </w:p>
    <w:p>
      <w:pPr>
        <w:spacing w:after="0" w:line="74"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Large pharmaceutical companies that have commercialized or are developing immunotherapies to treat cancer include AstraZeneca, Bristol Myers Squibb, Gilead Sciences, Merck, Novartis, Pfizer, and Roche/Genentech. In addition, we may compete with other immuno-oncology companies in our industry, such as Curis, Hummingbird Bioscience, Kineta, PharmAbcine and Pierre Fabre, each of which are developing antibodies targeting VISTA, the target of our lead product candidate SNS-101.</w:t>
      </w:r>
    </w:p>
    <w:p>
      <w:pPr>
        <w:spacing w:after="0" w:line="86"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Our competitors with development-stage programs may obtain marketing approval from the FDA or other comparable regulatory authorities for their product candidates more rapidly than we do, and they could establish a strong market position before we are able to enter the market. In addition,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4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7"/>
          <w:szCs w:val="17"/>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64"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FDA or other regulatory approval for their products more rapidly than we may obtain approval for ours, which could result in our competitors establishing a strong market position for either the product or a specific indication before we are able to enter the market.</w:t>
      </w:r>
    </w:p>
    <w:p>
      <w:pPr>
        <w:spacing w:after="0" w:line="42"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49"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Even if we obtain approvals from the FDA or other comparable regulatory agencies and are able to initiate commercialization of our product candidates or any other product candidates we develop, the product candidate may not achieve market acceptance among physicians, patients, hospitals, including pharmacy directors, and third-party payors and, ultimately, may not be commercially successful. The degree of market acceptance of our product candidates, if approved for commercial sale, will depend on a number of factors, including:</w:t>
      </w:r>
    </w:p>
    <w:p>
      <w:pPr>
        <w:spacing w:after="0" w:line="73"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upfront costs or training required for physicians to administer our product candidates;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51" w:name="page52"/>
    <w:bookmarkEnd w:id="51"/>
    <w:p>
      <w:pPr>
        <w:ind w:left="1020" w:right="44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coverage, adequate reimbursement from, and our ability to negotiate pricing with, third-party payors and government authorities;</w:t>
      </w:r>
    </w:p>
    <w:p>
      <w:pPr>
        <w:spacing w:after="0" w:line="48"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comprehensive coverage and reimbursement by third-party payors and government authorities;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distribution support</w:t>
      </w:r>
    </w:p>
    <w:p>
      <w:pPr>
        <w:spacing w:after="0" w:line="104"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Our efforts to educate physicians, patients, third-party payors and others in the medical community on the benefits of our product candidates, if approved,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product revenue for the foreseeable future, the failure of our product candidates to find market acceptance could harm our business and could require us to seek additional financing.</w:t>
      </w:r>
    </w:p>
    <w:p>
      <w:pPr>
        <w:spacing w:after="0" w:line="91"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In addition, although we are not utilizing embryonic stem cells or replication competent vectors, adverse publicity due to the ethical and social controversies surrounding the therapeutic use of such technologies, and reported side effects from any clinical trials using these technologies or the failure of such trials to demonstrate that these therapies are safe and effective, may limit market acceptance our product candidates. If our product candidates are approved but fail to achieve market acceptance among physicians, patients, hospitals, cancer treatment centers or others in the medical community, we will not be able to generate significant revenue.</w:t>
      </w:r>
    </w:p>
    <w:p>
      <w:pPr>
        <w:spacing w:after="0" w:line="78" w:lineRule="exact"/>
        <w:rPr>
          <w:sz w:val="20"/>
          <w:szCs w:val="20"/>
          <w:color w:val="auto"/>
        </w:rPr>
      </w:pPr>
    </w:p>
    <w:p>
      <w:pPr>
        <w:ind w:right="300" w:firstLine="509"/>
        <w:spacing w:after="0" w:line="342" w:lineRule="auto"/>
        <w:rPr>
          <w:sz w:val="20"/>
          <w:szCs w:val="20"/>
          <w:color w:val="auto"/>
        </w:rPr>
      </w:pPr>
      <w:r>
        <w:rPr>
          <w:rFonts w:ascii="Arial" w:cs="Arial" w:eastAsia="Arial" w:hAnsi="Arial"/>
          <w:sz w:val="16"/>
          <w:szCs w:val="16"/>
          <w:color w:val="auto"/>
        </w:rPr>
        <w:t>Even if our product candidates, if approved,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 w:lineRule="exact"/>
        <w:rPr>
          <w:sz w:val="20"/>
          <w:szCs w:val="20"/>
          <w:color w:val="auto"/>
        </w:rPr>
      </w:pPr>
    </w:p>
    <w:p>
      <w:pPr>
        <w:ind w:left="260" w:right="140"/>
        <w:spacing w:after="0" w:line="261"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current or any future product candidates, which could make it difficult for us to sell profitably, if approved.</w:t>
      </w:r>
    </w:p>
    <w:p>
      <w:pPr>
        <w:spacing w:after="0" w:line="76"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Market acceptance and sales of any product candidates, if approved, that we commercialize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However, decisions regarding the extent of coverage and amount of reimbursement to be provided for any product candidates that we develop will be made on a payor-by-payor basis. Further, no uniform policy for coverage and reimbursement exists in the United States, and coverage and reimbursement can differ significantly from payor to payor. As a result,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to allow us to establish or maintain pricing sufficient to realize a sufficient return on our investment will be approved. Third-party payors are increasingly challenging the price, examining the medical necessity and reviewing the cost-effectiveness of medical products, therapies and services, in addition to questioning their safety and efficacy. We may incur significant costs to conduct expensive pharmaco-economic studies in order to demonstrate the medical necessity and cost-effectiveness of our product candidates, in addition to the costs required to obtain FDA approvals. Our product candidates may not be considered medically necessary or cost-effective.</w:t>
      </w:r>
    </w:p>
    <w:p>
      <w:pPr>
        <w:spacing w:after="0" w:line="56"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and providers are unlikely to prescribe our products, unless coverage is provided and reimbursement is adequate to cover a significant portion of the cost of our products and their administration. Therefore, coverage and adequate reimbursement is critical to new medical product acceptance.</w:t>
      </w:r>
    </w:p>
    <w:p>
      <w:pPr>
        <w:spacing w:after="0" w:line="79"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could negatively impact prescriptions for our product candidates, if approved.</w:t>
      </w:r>
    </w:p>
    <w:p>
      <w:pPr>
        <w:spacing w:after="0" w:line="9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A primary trend in the U.S. healthcare industry and elsewhere is cost containment. Third-party payors have attempted to control costs by limiting coverage and the amount of reimbursement for particular medications. We cannot be sure that coverage and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2" w:name="page53"/>
    <w:bookmarkEnd w:id="52"/>
    <w:p>
      <w:pPr>
        <w:spacing w:after="0" w:line="258" w:lineRule="auto"/>
        <w:rPr>
          <w:sz w:val="20"/>
          <w:szCs w:val="20"/>
          <w:color w:val="auto"/>
        </w:rPr>
      </w:pPr>
      <w:r>
        <w:rPr>
          <w:rFonts w:ascii="Arial" w:cs="Arial" w:eastAsia="Arial" w:hAnsi="Arial"/>
          <w:sz w:val="17"/>
          <w:szCs w:val="17"/>
          <w:color w:val="auto"/>
        </w:rPr>
        <w:t>reimbursement will be available for any drug that we commercialize and, if reimbursement is available, what the level of reimbursement will be. Even if favorable coverage and reimbursement status is attained for one or more product candidates for which we receive regulatory approval, less favorable coverage policies and reimbursement rates may be implemented in the future.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revenues and profits.</w:t>
      </w:r>
    </w:p>
    <w:p>
      <w:pPr>
        <w:spacing w:after="0" w:line="72"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We cannot be sure that coverage and reimbursement in the United States or elsewhere will be available for any product that we may develop, and any reimbursement that may become available may be decreased or eliminated in the future.</w:t>
      </w:r>
    </w:p>
    <w:p>
      <w:pPr>
        <w:spacing w:after="0" w:line="49" w:lineRule="exact"/>
        <w:rPr>
          <w:sz w:val="20"/>
          <w:szCs w:val="20"/>
          <w:color w:val="auto"/>
        </w:rPr>
      </w:pPr>
    </w:p>
    <w:p>
      <w:pPr>
        <w:ind w:left="260" w:right="560"/>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76" w:lineRule="exact"/>
        <w:rPr>
          <w:sz w:val="20"/>
          <w:szCs w:val="20"/>
          <w:color w:val="auto"/>
        </w:rPr>
      </w:pPr>
    </w:p>
    <w:p>
      <w:pPr>
        <w:ind w:right="240" w:firstLine="509"/>
        <w:spacing w:after="0" w:line="294"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3"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costs to defend the resulting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paid to clinical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We currently do not have product liability in place as the cost of coverage exceeds the covered amount during clinical trials. Once we are ready for a product launch, we intend to bind a policy with product liability insurance coverage in the aggregate and a per incident limit at an amount adequate to cover estimated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78" w:lineRule="exact"/>
        <w:rPr>
          <w:sz w:val="20"/>
          <w:szCs w:val="20"/>
          <w:color w:val="auto"/>
        </w:rPr>
      </w:pPr>
    </w:p>
    <w:p>
      <w:pPr>
        <w:ind w:left="260" w:right="60"/>
        <w:spacing w:after="0" w:line="331"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56" w:lineRule="exact"/>
        <w:rPr>
          <w:sz w:val="20"/>
          <w:szCs w:val="20"/>
          <w:color w:val="auto"/>
        </w:rPr>
      </w:pPr>
    </w:p>
    <w:p>
      <w:pPr>
        <w:ind w:right="260" w:firstLine="509"/>
        <w:spacing w:after="0" w:line="245" w:lineRule="auto"/>
        <w:rPr>
          <w:sz w:val="20"/>
          <w:szCs w:val="20"/>
          <w:color w:val="auto"/>
        </w:rPr>
      </w:pPr>
      <w:r>
        <w:rPr>
          <w:rFonts w:ascii="Arial" w:cs="Arial" w:eastAsia="Arial" w:hAnsi="Arial"/>
          <w:sz w:val="18"/>
          <w:szCs w:val="18"/>
          <w:color w:val="auto"/>
        </w:rPr>
        <w:t>Disruptions at the FDA and other agencies may also slow the time necessary for product candidates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jc w:val="both"/>
        <w:ind w:right="360"/>
        <w:spacing w:after="0" w:line="256" w:lineRule="auto"/>
        <w:rPr>
          <w:sz w:val="20"/>
          <w:szCs w:val="20"/>
          <w:color w:val="auto"/>
        </w:rPr>
      </w:pPr>
      <w:r>
        <w:rPr>
          <w:rFonts w:ascii="Arial" w:cs="Arial" w:eastAsia="Arial" w:hAnsi="Arial"/>
          <w:sz w:val="18"/>
          <w:szCs w:val="18"/>
          <w:color w:val="auto"/>
        </w:rPr>
        <w:t>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60" w:right="120"/>
        <w:spacing w:after="0" w:line="294" w:lineRule="auto"/>
        <w:rPr>
          <w:sz w:val="20"/>
          <w:szCs w:val="20"/>
          <w:color w:val="auto"/>
        </w:rPr>
      </w:pPr>
      <w:r>
        <w:rPr>
          <w:rFonts w:ascii="Arial" w:cs="Arial" w:eastAsia="Arial" w:hAnsi="Arial"/>
          <w:sz w:val="16"/>
          <w:szCs w:val="16"/>
          <w:b w:val="1"/>
          <w:bCs w:val="1"/>
          <w:i w:val="1"/>
          <w:iCs w:val="1"/>
          <w:color w:val="auto"/>
        </w:rPr>
        <w:t>If we are unable to obtain and maintain patent protection for our technologies and product candidates, including SNS-101,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p>
    <w:p>
      <w:pPr>
        <w:spacing w:after="0" w:line="53"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Canada, China, the European Union and other countries with respect to our product candidates. We seek to protect our proprietary position by filing patent applications related to our technology and product candidates in the major pharmaceutical markets, including the United States, Canada, China, major countries in Europe and Japan. If we do not adequately protect our intellectual property, competitors may be able to use our technologies and erode or negate any competitive advantage that we may have, which could harm our business and ability to achieve profitability.</w:t>
      </w:r>
    </w:p>
    <w:p>
      <w:pPr>
        <w:spacing w:after="0" w:line="63"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To protect our proprietary positions, we typically file patent applications in the United States and other countries related to our novel technologies and product candidates that are important to our business. The patent application and prosecution process is expensive and time-consuming. We may not be able to file and prosecute all necessary or desirable patent applications at a reasonable cost or in a timely manner. We may also fail to identify patentable aspects of our research and development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w:t>
      </w:r>
    </w:p>
    <w:p>
      <w:pPr>
        <w:spacing w:after="0" w:line="7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It is also possible that we will fail to identify patentable aspects of our research and development output before it is too late to obtain patent</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protection. The patent applications that we own may fail to result in issued patents with claims that cover our current and future product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w:t>
      </w:r>
    </w:p>
    <w:p>
      <w:pPr>
        <w:spacing w:after="0" w:line="63" w:lineRule="exact"/>
        <w:rPr>
          <w:sz w:val="20"/>
          <w:szCs w:val="20"/>
          <w:color w:val="auto"/>
        </w:rPr>
      </w:pPr>
    </w:p>
    <w:p>
      <w:pPr>
        <w:jc w:val="both"/>
        <w:ind w:right="460" w:firstLine="509"/>
        <w:spacing w:after="0" w:line="256" w:lineRule="auto"/>
        <w:rPr>
          <w:sz w:val="20"/>
          <w:szCs w:val="20"/>
          <w:color w:val="auto"/>
        </w:rPr>
      </w:pPr>
      <w:r>
        <w:rPr>
          <w:rFonts w:ascii="Arial" w:cs="Arial" w:eastAsia="Arial" w:hAnsi="Arial"/>
          <w:sz w:val="18"/>
          <w:szCs w:val="18"/>
          <w:color w:val="auto"/>
        </w:rPr>
        <w:t>If the patent applications we hold with respect to our development programs and product candidates fail to issue, if their breadth or strength of protection is threatened, or if they fail to provide meaningful exclusivity for our current and future product candidates, it could threaten our ability to commercialize our product candidates. Any such outcome could have a negative effect on our business.</w:t>
      </w:r>
    </w:p>
    <w:p>
      <w:pPr>
        <w:spacing w:after="0" w:line="6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patent position of biotechnology and pharmaceutical companies generally is highly uncertain. Changes in either the patent laws or interpretation of the patent laws in the United States and other countries may diminish the value of our patents or narrow the scope of our patent protection. In addition, the protections offered by laws of different countries vary.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may affect the scope, strength and enforceability of our patent rights or the nature of proceedings that may be brought by or against us related to our patent rights.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or USPTO, the laws and regulations governing patents could change in unpredictable ways that could weaken our ability to obtain patents or to enforce any patents that we might obtain in the future.</w:t>
      </w:r>
    </w:p>
    <w:p>
      <w:pPr>
        <w:spacing w:after="0" w:line="7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may not be aware of all third-party intellectual property rights potentially relating to our current and future our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should we own any patents or patent applications in the future, we may not be certain that we were the first to file for patent protection for the inventions claimed in such patents or patent applications. As a result, the issuance, scope, validity and commercial value of our patent rights cannot be predicted with any certainty. Moreover,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4" w:name="page55"/>
    <w:bookmarkEnd w:id="54"/>
    <w:p>
      <w:pPr>
        <w:ind w:right="260"/>
        <w:spacing w:after="0" w:line="288" w:lineRule="auto"/>
        <w:rPr>
          <w:sz w:val="20"/>
          <w:szCs w:val="20"/>
          <w:color w:val="auto"/>
        </w:rPr>
      </w:pPr>
      <w:r>
        <w:rPr>
          <w:rFonts w:ascii="Arial" w:cs="Arial" w:eastAsia="Arial" w:hAnsi="Arial"/>
          <w:sz w:val="16"/>
          <w:szCs w:val="16"/>
          <w:color w:val="auto"/>
        </w:rPr>
        <w:t xml:space="preserve">we may be subject to a third-party pre-issuance submission of prior art to the USPTO or become involved in opposition, derivation, reexamination,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or interference proceedings, in the United States or elsewhere, challenging our patent rights or the patent rights of others. An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products without infringing third-party patent rights, which could significantly harm our business and results of operations.</w:t>
      </w:r>
    </w:p>
    <w:p>
      <w:pPr>
        <w:spacing w:after="0" w:line="4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Our pending and future patent applications may not result in patents being issued that protect our technology or product candidates, in whole or in part, or which effectively prevent others from commercializing competitive technologies and products. Even if our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owned or licensed patents, should they issue, by developing similar or alternative technologies or products in a non-infringing manner. Our competitors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w:t>
      </w:r>
    </w:p>
    <w:p>
      <w:pPr>
        <w:spacing w:after="0" w:line="67"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77" w:lineRule="exact"/>
        <w:rPr>
          <w:sz w:val="20"/>
          <w:szCs w:val="20"/>
          <w:color w:val="auto"/>
        </w:rPr>
      </w:pPr>
    </w:p>
    <w:p>
      <w:pPr>
        <w:ind w:left="260" w:right="64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significantly harm our business.</w:t>
      </w:r>
    </w:p>
    <w:p>
      <w:pPr>
        <w:spacing w:after="0" w:line="49"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and use our TMAb</w:t>
      </w:r>
    </w:p>
    <w:p>
      <w:pPr>
        <w:spacing w:after="0" w:line="23" w:lineRule="exact"/>
        <w:rPr>
          <w:sz w:val="20"/>
          <w:szCs w:val="20"/>
          <w:color w:val="auto"/>
        </w:rPr>
      </w:pPr>
    </w:p>
    <w:p>
      <w:pPr>
        <w:jc w:val="both"/>
        <w:ind w:right="120"/>
        <w:spacing w:after="0" w:line="292" w:lineRule="auto"/>
        <w:rPr>
          <w:sz w:val="20"/>
          <w:szCs w:val="20"/>
          <w:color w:val="auto"/>
        </w:rPr>
      </w:pPr>
      <w:r>
        <w:rPr>
          <w:rFonts w:ascii="Arial" w:cs="Arial" w:eastAsia="Arial" w:hAnsi="Arial"/>
          <w:sz w:val="16"/>
          <w:szCs w:val="16"/>
          <w:color w:val="auto"/>
        </w:rPr>
        <w:t>technology without infringing the intellectual property and other proprietary rights of third parties. Numerous third-party U.S. and non-U.S. issued patents exist in the area of biotechnology, including in the area of monoclonal antibodies and including patents held by our competitors. If any third-party patents cover our product candidates or technologies, we may not be free to manufacture or commercialize our product candidates as planned.</w:t>
      </w:r>
    </w:p>
    <w:p>
      <w:pPr>
        <w:spacing w:after="0" w:line="4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Intellectual property disputes arise in a number of areas including with respect to patents, use of other proprietary rights and the contractual terms of license arrangements. Third parties may assert claims against us based on existing or future intellectual property rights and claims may also come from competitors against whom our own patent portfolio may have no deterrent effect. The outcome of intellectual property litigation is subject to uncertainties that cannot be adequately quantified in advance.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and future product candidates, competitors may claim that our technology infringes their intellectual property rights as part of business strategies designed to impede our successful commercialization. There are and may in the future be additional third-party patents or patent applications with claims to, for example, materials, compositions, formulations, methods of manufacture or methods for treatment related to the use or manufacture of any one or more of our product candidates. Moreover, we may fail to identify relevant third party patents or patent applications, or we may incorrectly conclude that the claims of an issued patent are invalid or are not infringed by our activities. Because patent applications can take many years to issue, third parties may have currently pending patent applications which may later result in issued patents that any of our product candidates may infringe, or which such third parties claim are infringed by our technologies.</w:t>
      </w:r>
    </w:p>
    <w:p>
      <w:pPr>
        <w:spacing w:after="0" w:line="70"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or may choose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successful, the defense of any claim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infringement or misappropriation is time-consuming, expensive and diverts the attention of our management from our ongoing business operations.</w:t>
      </w:r>
    </w:p>
    <w:p>
      <w:pPr>
        <w:spacing w:after="0" w:line="129" w:lineRule="exact"/>
        <w:rPr>
          <w:sz w:val="20"/>
          <w:szCs w:val="20"/>
          <w:color w:val="auto"/>
        </w:rPr>
      </w:pPr>
    </w:p>
    <w:p>
      <w:pPr>
        <w:ind w:left="260" w:right="360"/>
        <w:spacing w:after="0" w:line="261"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3"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or manufacture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74" w:lineRule="exact"/>
        <w:rPr>
          <w:sz w:val="20"/>
          <w:szCs w:val="20"/>
          <w:color w:val="auto"/>
        </w:rPr>
      </w:pPr>
    </w:p>
    <w:p>
      <w:pPr>
        <w:ind w:right="180" w:firstLine="509"/>
        <w:spacing w:after="0" w:line="283"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time-consuming and unsuccessful.</w:t>
      </w:r>
    </w:p>
    <w:p>
      <w:pPr>
        <w:spacing w:after="0" w:line="140"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Competitors may infringe our patents, if issued,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5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In any infringement litigation, any award of monetary damages we receive may not be commercially valuable. Furthermore, because of the</w:t>
      </w:r>
    </w:p>
    <w:p>
      <w:pPr>
        <w:spacing w:after="0" w:line="12"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70" w:lineRule="exact"/>
        <w:rPr>
          <w:sz w:val="20"/>
          <w:szCs w:val="20"/>
          <w:color w:val="auto"/>
        </w:rPr>
      </w:pPr>
    </w:p>
    <w:p>
      <w:pPr>
        <w:ind w:left="260" w:right="620"/>
        <w:spacing w:after="0" w:line="26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3" w:lineRule="exact"/>
        <w:rPr>
          <w:sz w:val="20"/>
          <w:szCs w:val="20"/>
          <w:color w:val="auto"/>
        </w:rPr>
      </w:pPr>
    </w:p>
    <w:p>
      <w:pPr>
        <w:ind w:right="200" w:firstLine="509"/>
        <w:spacing w:after="0" w:line="263" w:lineRule="auto"/>
        <w:rPr>
          <w:sz w:val="20"/>
          <w:szCs w:val="20"/>
          <w:color w:val="auto"/>
        </w:rPr>
      </w:pPr>
      <w:r>
        <w:rPr>
          <w:rFonts w:ascii="Arial" w:cs="Arial" w:eastAsia="Arial" w:hAnsi="Arial"/>
          <w:sz w:val="17"/>
          <w:szCs w:val="17"/>
          <w:color w:val="auto"/>
        </w:rPr>
        <w:t>Many of our employees were previously employed at universities or other biotechnology or pharmaceutical companies. Although we try to ensure that our employees do not use the proprietary information or know-how of third parties in their work for us, we may be subject to claims that these employees or we have inadvertently or otherwise used intellectual property, including trade secrets or other proprietary information, of any such employee’s former employer. We may also in the future be subject to claims that we have caused an employee to breach the terms of his or her non-competition or non-solicitation agreement. Litigation may be necessary to defend against these potential claims.</w:t>
      </w:r>
    </w:p>
    <w:p>
      <w:pPr>
        <w:spacing w:after="0" w:line="76" w:lineRule="exact"/>
        <w:rPr>
          <w:sz w:val="20"/>
          <w:szCs w:val="20"/>
          <w:color w:val="auto"/>
        </w:rPr>
      </w:pPr>
    </w:p>
    <w:p>
      <w:pPr>
        <w:ind w:right="460" w:firstLine="509"/>
        <w:spacing w:after="0" w:line="248"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such employees and contractors may breach the agreement and claim the developed intellectual property as their own.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ind w:right="40" w:firstLine="509"/>
        <w:spacing w:after="0" w:line="263"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owned patent rights and other intellectual property.</w:t>
      </w:r>
    </w:p>
    <w:p>
      <w:pPr>
        <w:spacing w:after="0" w:line="129"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generally enter into confidentiality and intellectual property assignment agreements with our employees, consultants, outside scientific collaborators, sponsored researchers and other advisors. However, these agreements may not be honored and may not effectively assign intellectual property rights to us. For example, disputes may arise from conflicting obligations of consultants or others who are involved in developing our technology and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04" w:lineRule="exact"/>
        <w:rPr>
          <w:sz w:val="20"/>
          <w:szCs w:val="20"/>
          <w:color w:val="auto"/>
        </w:rPr>
      </w:pPr>
    </w:p>
    <w:p>
      <w:pPr>
        <w:jc w:val="both"/>
        <w:ind w:right="40" w:firstLine="509"/>
        <w:spacing w:after="0" w:line="283" w:lineRule="auto"/>
        <w:rPr>
          <w:sz w:val="20"/>
          <w:szCs w:val="20"/>
          <w:color w:val="auto"/>
        </w:rPr>
      </w:pPr>
      <w:r>
        <w:rPr>
          <w:rFonts w:ascii="Arial" w:cs="Arial" w:eastAsia="Arial" w:hAnsi="Arial"/>
          <w:sz w:val="16"/>
          <w:szCs w:val="16"/>
          <w:color w:val="auto"/>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48" w:lineRule="exact"/>
        <w:rPr>
          <w:sz w:val="20"/>
          <w:szCs w:val="20"/>
          <w:color w:val="auto"/>
        </w:rPr>
      </w:pPr>
    </w:p>
    <w:p>
      <w:pPr>
        <w:ind w:right="200" w:firstLine="509"/>
        <w:spacing w:after="0" w:line="263" w:lineRule="auto"/>
        <w:rPr>
          <w:sz w:val="20"/>
          <w:szCs w:val="20"/>
          <w:color w:val="auto"/>
        </w:rPr>
      </w:pPr>
      <w:r>
        <w:rPr>
          <w:rFonts w:ascii="Arial" w:cs="Arial" w:eastAsia="Arial" w:hAnsi="Arial"/>
          <w:sz w:val="17"/>
          <w:szCs w:val="17"/>
          <w:color w:val="auto"/>
        </w:rPr>
        <w:t>In addition, any proprietary name we propose to use with our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Furthermore, some courts inside and outside the United States are less willing or unwilling to protect trade secrets.</w:t>
      </w:r>
    </w:p>
    <w:p>
      <w:pPr>
        <w:spacing w:after="0" w:line="80"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200" w:firstLine="509"/>
        <w:spacing w:after="0" w:line="249"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7" w:name="page58"/>
    <w:bookmarkEnd w:id="57"/>
    <w:p>
      <w:pPr>
        <w:ind w:right="140"/>
        <w:spacing w:after="0" w:line="277" w:lineRule="auto"/>
        <w:rPr>
          <w:sz w:val="20"/>
          <w:szCs w:val="20"/>
          <w:color w:val="auto"/>
        </w:rPr>
      </w:pPr>
      <w:r>
        <w:rPr>
          <w:rFonts w:ascii="Arial" w:cs="Arial" w:eastAsia="Arial" w:hAnsi="Arial"/>
          <w:sz w:val="18"/>
          <w:szCs w:val="18"/>
          <w:color w:val="auto"/>
        </w:rPr>
        <w:t>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49"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preclinical programs and our patents or other intellectual property rights may not be effective or sufficient to prevent them from competing.</w:t>
      </w:r>
    </w:p>
    <w:p>
      <w:pPr>
        <w:spacing w:after="0" w:line="7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7" w:lineRule="exact"/>
        <w:rPr>
          <w:sz w:val="20"/>
          <w:szCs w:val="20"/>
          <w:color w:val="auto"/>
        </w:rPr>
      </w:pPr>
    </w:p>
    <w:p>
      <w:pPr>
        <w:jc w:val="both"/>
        <w:ind w:left="260" w:right="26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Periodic maintenance and annuity fees on any issued patent are due to be paid to the USPTO and patent agencies outside the United States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or product candidates, our competitors might be able to enter the market, which would harm our business. In addition, to the extent that we have responsibility for taking any action related to the prosecution or maintenance of patents or patent application in-licensed from a third party, any failure on our part to maintain the in-licensed rights could jeopardize our rights under the relevant license and may expose us to liability.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As of November 1, 2022, we had 44 full-time employees. As our development and commercialization plans and strategies develop, and as we continue operating as a public company, we expect to need additional managerial, operational, financial and other personnel, including personnel to support our product development and planned future commercialization efforts. Future growth will impose significant added responsibilities on members of management, including:</w:t>
      </w:r>
    </w:p>
    <w:p>
      <w:pPr>
        <w:spacing w:after="0" w:line="73"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03"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preclinical, clinical and FDA review processes for our product candidates; and</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There are a small number of individuals with experience in immuno-oncology and the competition for these individuals is high. 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3" w:lineRule="exact"/>
        <w:rPr>
          <w:sz w:val="20"/>
          <w:szCs w:val="20"/>
          <w:color w:val="auto"/>
        </w:rPr>
      </w:pPr>
    </w:p>
    <w:p>
      <w:pPr>
        <w:ind w:right="740" w:firstLine="509"/>
        <w:spacing w:after="0" w:line="256" w:lineRule="auto"/>
        <w:rPr>
          <w:sz w:val="20"/>
          <w:szCs w:val="20"/>
          <w:color w:val="auto"/>
        </w:rPr>
      </w:pPr>
      <w:r>
        <w:rPr>
          <w:rFonts w:ascii="Arial" w:cs="Arial" w:eastAsia="Arial" w:hAnsi="Arial"/>
          <w:sz w:val="18"/>
          <w:szCs w:val="18"/>
          <w:color w:val="auto"/>
        </w:rPr>
        <w:t>If we are not able to effectively expand our organization by hiring new employees, we may not be able to successfully implement the tasks necessary to further develop and commercialize our product candidates and, accordingly, may not achieve our research, development and commercialization goals.</w:t>
      </w:r>
    </w:p>
    <w:p>
      <w:pPr>
        <w:spacing w:after="0" w:line="67"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members of senior management and to attract, retain and motivate qualified personnel.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8" w:name="page59"/>
    <w:bookmarkEnd w:id="58"/>
    <w:p>
      <w:pPr>
        <w:ind w:right="120" w:firstLine="509"/>
        <w:spacing w:after="0" w:line="256" w:lineRule="auto"/>
        <w:rPr>
          <w:sz w:val="20"/>
          <w:szCs w:val="20"/>
          <w:color w:val="auto"/>
        </w:rPr>
      </w:pPr>
      <w:r>
        <w:rPr>
          <w:rFonts w:ascii="Arial" w:cs="Arial" w:eastAsia="Arial" w:hAnsi="Arial"/>
          <w:sz w:val="18"/>
          <w:szCs w:val="18"/>
          <w:color w:val="auto"/>
        </w:rPr>
        <w:t>Our ability to compete in the highly competitive biopharmaceutical industry depends upon our ability to attract and retain highly qualified management, research and development, clinical, financial and business development personnel. Our senior management may terminate their employment with us at any time, and we do not maintain “key person” insurance for any of our employees.</w:t>
      </w:r>
    </w:p>
    <w:p>
      <w:pPr>
        <w:spacing w:after="0" w:line="67"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54"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49"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From time to time, we may evaluate various acquisitions and strategic collaborations, including licensing or acquiring complementary products, intellectual property rights, technologies or businesses, as we may deem appropriate to carry out our business plan. For instance, in May 2020, we acquired Alvaxa Biosciences LLC to obtain nanobody assets and know-how. Any potential acquisition or strategic collaboration may entail numerous risks, including:</w:t>
      </w:r>
    </w:p>
    <w:p>
      <w:pPr>
        <w:spacing w:after="0" w:line="73"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partnership, merger or acquisition;</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0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48"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sufficient to meet our objectives in undertaking the acquisition or even to offset the associated acquisition and maintenance costs.</w:t>
      </w:r>
    </w:p>
    <w:p>
      <w:pPr>
        <w:spacing w:after="0" w:line="76"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Additionally, if we undertake future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 and our Status as a Public Company</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continue to develop or be sustained.</w:t>
      </w:r>
    </w:p>
    <w:p>
      <w:pPr>
        <w:spacing w:after="0" w:line="117"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Prior to our initial public offering, there was no public market for our common stock, and we cannot assure you that an active trading market for our shares will continue to develop or be sustained. As a result, it may be difficult for you to sell shares at an attractive price or at all.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trading price of our common stock may be volatile, and you could lose all or part of your investment.</w:t>
      </w:r>
    </w:p>
    <w:p>
      <w:pPr>
        <w:spacing w:after="0" w:line="104"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9" w:name="page60"/>
    <w:bookmarkEnd w:id="59"/>
    <w:p>
      <w:pPr>
        <w:ind w:right="240"/>
        <w:spacing w:after="0" w:line="277" w:lineRule="auto"/>
        <w:rPr>
          <w:sz w:val="20"/>
          <w:szCs w:val="20"/>
          <w:color w:val="auto"/>
        </w:rPr>
      </w:pPr>
      <w:r>
        <w:rPr>
          <w:rFonts w:ascii="Arial" w:cs="Arial" w:eastAsia="Arial" w:hAnsi="Arial"/>
          <w:sz w:val="18"/>
          <w:szCs w:val="18"/>
          <w:color w:val="auto"/>
        </w:rPr>
        <w:t>performance of particular companies. As a result of this volatility, investors may not be able to sell their common stock at or above the price paid for the common stock. In addition to the factors discussed elsewhere in this “Risk Factors” section, these factors include:</w:t>
      </w:r>
    </w:p>
    <w:p>
      <w:pPr>
        <w:spacing w:after="0" w:line="49"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commencement, enrollment or results of our planned and future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positive or negative results from, or delays in, testing and clinical trials by us, collaborators or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clinical trials or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 and preclinical program;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and scope of health care payment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to our relationships with collaborators, manufacturers or suppliers;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concerns regarding the safety of our product candidates or TMAb platform in general;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acquisitions, financing, collaborations or other corporate transactions;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trading volume of our common stock on Nasdaq;</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stock by us, members of our senior management and directors or our stockholders or the anticipation that such sales may occur in the future;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fluctuations in the financial markets in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stock market price and volume fluctuations of comparable companies and, in particular, those that operate in the biopharmaceutical industry;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104"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common stock at or above the price paid for the common stock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w:t>
      </w:r>
    </w:p>
    <w:p>
      <w:pPr>
        <w:spacing w:after="0" w:line="78"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Some companies that have experienced volatility in the trading price of their shares have been the subject of securities class action litigation. From time to time, we have been, and may continue to be, subject to legal proceedings and claims in the ordinary course of business. For instance, during 2017, we became actively involved, along with other defendants, in a breach of contract claim in the Ontario (Canada) Superior Court of Justice seeking declaratory and other relief, including monetary damages. While we believe there is no merit to the allegations of that claim, any lawsuit to which we are a party, with or without merit, may result in an unfavorable judgment. We also may decide to settle lawsuits on unfavorable terms.</w:t>
      </w:r>
    </w:p>
    <w:p>
      <w:pPr>
        <w:spacing w:after="0" w:line="44"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73" w:lineRule="exact"/>
        <w:rPr>
          <w:sz w:val="20"/>
          <w:szCs w:val="20"/>
          <w:color w:val="auto"/>
        </w:rPr>
      </w:pPr>
    </w:p>
    <w:p>
      <w:pPr>
        <w:ind w:left="260" w:right="180"/>
        <w:spacing w:after="0" w:line="308"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0" w:name="page61"/>
    <w:bookmarkEnd w:id="60"/>
    <w:p>
      <w:pPr>
        <w:ind w:right="200" w:firstLine="509"/>
        <w:spacing w:after="0" w:line="256" w:lineRule="auto"/>
        <w:rPr>
          <w:sz w:val="20"/>
          <w:szCs w:val="20"/>
          <w:color w:val="auto"/>
        </w:rPr>
      </w:pPr>
      <w:r>
        <w:rPr>
          <w:rFonts w:ascii="Arial" w:cs="Arial" w:eastAsia="Arial" w:hAnsi="Arial"/>
          <w:sz w:val="18"/>
          <w:szCs w:val="18"/>
          <w:color w:val="auto"/>
        </w:rPr>
        <w:t>Sales of a substantial number of our common stock in the public market could occur at any time. If our stockholders sell, or the market perceives that our stockholders intend to sell, substantial amounts of our shares of common stock in the public market, the market price of our common stock could decline significantly.</w:t>
      </w:r>
    </w:p>
    <w:p>
      <w:pPr>
        <w:spacing w:after="0" w:line="67"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In addition, we have filed registration statements registering the issuance of approximately 8.8 million shares of common stock subject to options or other equity awards issued or reserved for future issuance under our equity incentive plans. Shares registered under these registration statements will be available for sale in the public market subject to vesting arrangements and exercise of options and, in the case of our affiliates, the restrictions of Rule 144 under the Securities Act.</w:t>
      </w:r>
    </w:p>
    <w:p>
      <w:pPr>
        <w:spacing w:after="0" w:line="86"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Additionally, certain holders of our common stock,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93" w:lineRule="exact"/>
        <w:rPr>
          <w:sz w:val="20"/>
          <w:szCs w:val="20"/>
          <w:color w:val="auto"/>
        </w:rPr>
      </w:pPr>
    </w:p>
    <w:p>
      <w:pPr>
        <w:ind w:left="260"/>
        <w:spacing w:after="0" w:line="261"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w:t>
      </w:r>
    </w:p>
    <w:p>
      <w:pPr>
        <w:spacing w:after="0" w:line="63" w:lineRule="exact"/>
        <w:rPr>
          <w:sz w:val="20"/>
          <w:szCs w:val="20"/>
          <w:color w:val="auto"/>
        </w:rPr>
      </w:pPr>
    </w:p>
    <w:p>
      <w:pPr>
        <w:ind w:right="120" w:firstLine="509"/>
        <w:spacing w:after="0" w:line="280"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63" w:lineRule="exact"/>
        <w:rPr>
          <w:sz w:val="20"/>
          <w:szCs w:val="20"/>
          <w:color w:val="auto"/>
        </w:rPr>
      </w:pPr>
    </w:p>
    <w:p>
      <w:pPr>
        <w:ind w:left="260" w:right="580"/>
        <w:spacing w:after="0" w:line="291"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will make our shares of common stock less attractive to investors.</w:t>
      </w:r>
    </w:p>
    <w:p>
      <w:pPr>
        <w:spacing w:after="0" w:line="39" w:lineRule="exact"/>
        <w:rPr>
          <w:sz w:val="20"/>
          <w:szCs w:val="20"/>
          <w:color w:val="auto"/>
        </w:rPr>
      </w:pPr>
    </w:p>
    <w:p>
      <w:pPr>
        <w:ind w:right="120" w:firstLine="509"/>
        <w:spacing w:after="0" w:line="258" w:lineRule="auto"/>
        <w:rPr>
          <w:sz w:val="20"/>
          <w:szCs w:val="20"/>
          <w:color w:val="auto"/>
        </w:rPr>
      </w:pPr>
      <w:r>
        <w:rPr>
          <w:rFonts w:ascii="Arial" w:cs="Arial" w:eastAsia="Arial" w:hAnsi="Arial"/>
          <w:sz w:val="17"/>
          <w:szCs w:val="17"/>
          <w:color w:val="auto"/>
        </w:rPr>
        <w:t>We are an “emerging growth company,” as defined in Section 2(a) of the Securities Act. For as long as we continue to be an emerging growth company, we may take advantage of exemptions from various reporting requirements that are applicable to other public companies that are not emerging growth companies, including the auditor attestation requirements in the assessment of our internal control over financial reporting under Section 404(b) of the Sarbanes-Oxley Act, compliance with any new requirements adopted by the PCAOB, disclosure obligations regarding executive compensation in our periodic reports and proxy statements, and the requirements of holding advisory “say-on-pay” votes on executive compensation and shareholder advisory votes on golden parachute compensation not previously approved. Certain of these reduced reporting requirements and exemptions are also available to us due to the fact that we qualify as a “smaller reporting company” under SEC rules. For instance, smaller reporting companies are not required to obtain an auditor attestation and report regarding management’s assessment of internal control over financial reporting, are not required to provide a compensation discussion and analysis, are not required to provide a pay-for-performance graph or CEO pay ratio disclosure and may present only two years of audited financial statements and related MD&amp;A disclosure.</w:t>
      </w:r>
    </w:p>
    <w:p>
      <w:pPr>
        <w:spacing w:after="0" w:line="72"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Under the JOBS Act, we will remain an emerging growth company until the earliest of (1) the last day of the fiscal year in which we have more than $1.235 billion in annual revenue; (2) the date we qualify as a “large accelerated filer,” with at least $700.0 million of equity securities held by non-affiliates; (3) the issuance, in any three-year period, by our company of more than $1.0 billion in non-convertible debt securities; and (4) December 31, 2026, which is the last day of the fiscal year following the fifth anniversary of the date of the first sale of our common stock pursuant to an effective registration statement filed under the Securities Act. Under current SEC rules, however, we will continue to qualify as a “smaller reporting company” for so long as (i) we have a public float (i.e., the market value of common equity held by non-affiliates) of less than $250 million or (ii) our annual revenue is less than $100 million during the most recently completed fiscal year and the market value of our common stock held by non-affiliates is less than $700 million.</w:t>
      </w:r>
    </w:p>
    <w:p>
      <w:pPr>
        <w:spacing w:after="0" w:line="63"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spacing w:after="0" w:line="74"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consolidated financial statements may not be directly comparable to those of other public companies.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ind w:left="260"/>
        <w:spacing w:after="0"/>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w:t>
      </w:r>
    </w:p>
    <w:p>
      <w:pPr>
        <w:spacing w:after="0" w:line="117"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do not intend to pay any cash dividends on our common stock in the foreseeable future and we currently intend to retain our future earnings, if any, to fund the development and growth of our business. Therefore, you should not rely on an investment in our common stock to provide dividend income. 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common stock will be your sole source of gains for the foreseeable future.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04"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Our net operating loss, or NOL, carryforwards could expire unused and be unavailable to offset future income tax liabilities because of their limited duration or because of restrictions under U.S. tax law. U.S. federal NOLs generated in taxable years beginning before January 1, 2018 are permitted to be carried forward for only 20 taxable years under applicable U.S. federal income tax law. Under the Tax Act, as modified by the Coronavirus Aid, Relief, and Economic Security Act, or the CARES Act, NOLs arising in taxable years beginning after December 31, 2017 may be carried forward indefinitely, but the deductibility of such NOLs generally will be limited in taxable years beginning after December 31, 2020 to 80% of current year taxable income. The extent to which state income tax law will conform to the Tax Act and CARES Act is uncertain. As of December 31, 2021, we had NOL carryforwards for federal and state income tax purposes of approximately $100.5 million and $92.4 million, respectively, a portion of which expire beginning in 2022. Net operating loss carryforwards generated after December 31, 2017 for federal tax reporting purposes of $58.5 million have an indefinite life. The remaining federal net operating losses are subject to a 20-year carryforward period.</w:t>
      </w:r>
    </w:p>
    <w:p>
      <w:pPr>
        <w:spacing w:after="0" w:line="65"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have not determined whether our NOLs are limited under Section 382 of the Code. We may have experienced an ownership change in the past, and may experience ownership changes in the future as a result of subsequent shifts in our stock ownership, some of which are outside our control.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spacing w:after="0" w:line="67" w:lineRule="exact"/>
        <w:rPr>
          <w:sz w:val="20"/>
          <w:szCs w:val="20"/>
          <w:color w:val="auto"/>
        </w:rPr>
      </w:pPr>
    </w:p>
    <w:p>
      <w:pPr>
        <w:ind w:left="260" w:right="460"/>
        <w:spacing w:after="0" w:line="291" w:lineRule="auto"/>
        <w:rPr>
          <w:sz w:val="20"/>
          <w:szCs w:val="20"/>
          <w:color w:val="auto"/>
        </w:rPr>
      </w:pPr>
      <w:r>
        <w:rPr>
          <w:rFonts w:ascii="Arial" w:cs="Arial" w:eastAsia="Arial" w:hAnsi="Arial"/>
          <w:sz w:val="17"/>
          <w:szCs w:val="17"/>
          <w:b w:val="1"/>
          <w:bCs w:val="1"/>
          <w:i w:val="1"/>
          <w:iCs w:val="1"/>
          <w:color w:val="auto"/>
        </w:rPr>
        <w:t>We have incurred and expect to continue incurring significantly increased costs as a result of operating as a company whose common stock is publicly traded, and our management will be required to devote substantial time to new compliance initiatives.</w:t>
      </w:r>
    </w:p>
    <w:p>
      <w:pPr>
        <w:spacing w:after="0" w:line="39"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As a newly public company, we have incurred significant legal, accounting and other expenses that we did not incur previously. These expenses will likely be even more significant after we no longer qualify as an emerging growth company. The Sarbanes-Oxley Act, the Dodd-Frank Wall Street Reform and Consumer Protection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spacing w:after="0" w:line="51" w:lineRule="exact"/>
        <w:rPr>
          <w:sz w:val="20"/>
          <w:szCs w:val="20"/>
          <w:color w:val="auto"/>
        </w:rPr>
      </w:pPr>
    </w:p>
    <w:p>
      <w:pPr>
        <w:jc w:val="both"/>
        <w:ind w:right="80" w:firstLine="509"/>
        <w:spacing w:after="0" w:line="278" w:lineRule="auto"/>
        <w:rPr>
          <w:sz w:val="20"/>
          <w:szCs w:val="20"/>
          <w:color w:val="auto"/>
        </w:rPr>
      </w:pPr>
      <w:r>
        <w:rPr>
          <w:rFonts w:ascii="Arial" w:cs="Arial" w:eastAsia="Arial" w:hAnsi="Arial"/>
          <w:sz w:val="17"/>
          <w:szCs w:val="17"/>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0"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Pursuant to Section 404, we are required to furnish a report by our senior management on our internal control over financial reporting. However, while we remain an emerging growth company or a smaller reporting company, we will not be required to include an attestation report on internal control over financial reporting issued by our independent registered public accounting firm. To prepare for eventual compliance with Section 404,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2" w:name="page63"/>
    <w:bookmarkEnd w:id="62"/>
    <w:p>
      <w:pPr>
        <w:ind w:right="400"/>
        <w:spacing w:after="0" w:line="277" w:lineRule="auto"/>
        <w:rPr>
          <w:sz w:val="20"/>
          <w:szCs w:val="20"/>
          <w:color w:val="auto"/>
        </w:rPr>
      </w:pPr>
      <w:r>
        <w:rPr>
          <w:rFonts w:ascii="Arial" w:cs="Arial" w:eastAsia="Arial" w:hAnsi="Arial"/>
          <w:sz w:val="18"/>
          <w:szCs w:val="18"/>
          <w:color w:val="auto"/>
        </w:rPr>
        <w:t>efforts, there is a risk that we will not be able to conclude, within the prescribed timeframe or at all, that our internal control over financial reporting is effective as required by Section 404.</w:t>
      </w:r>
    </w:p>
    <w:p>
      <w:pPr>
        <w:spacing w:after="0" w:line="49" w:lineRule="exact"/>
        <w:rPr>
          <w:sz w:val="20"/>
          <w:szCs w:val="20"/>
          <w:color w:val="auto"/>
        </w:rPr>
      </w:pPr>
    </w:p>
    <w:p>
      <w:pPr>
        <w:ind w:left="260" w:right="20"/>
        <w:spacing w:after="0" w:line="331" w:lineRule="auto"/>
        <w:rPr>
          <w:sz w:val="20"/>
          <w:szCs w:val="20"/>
          <w:color w:val="auto"/>
        </w:rPr>
      </w:pPr>
      <w:r>
        <w:rPr>
          <w:rFonts w:ascii="Arial" w:cs="Arial" w:eastAsia="Arial" w:hAnsi="Arial"/>
          <w:sz w:val="15"/>
          <w:szCs w:val="15"/>
          <w:b w:val="1"/>
          <w:bCs w:val="1"/>
          <w:i w:val="1"/>
          <w:iCs w:val="1"/>
          <w:color w:val="auto"/>
        </w:rPr>
        <w:t>Our amended and restated certificate of incorporation provides that the Court of Chancery of the State of Delaware and, to the extent enforceable, the federal district courts of the United States of America, will be the exclusive forum for substantially all disputes between us and our stockholders, which could limit our stockholders’ ability to obtain a favorable judicial forum for disputes with us or our directors, officers, or employees.</w:t>
      </w:r>
    </w:p>
    <w:p>
      <w:pPr>
        <w:spacing w:after="0" w:line="15" w:lineRule="exact"/>
        <w:rPr>
          <w:sz w:val="20"/>
          <w:szCs w:val="20"/>
          <w:color w:val="auto"/>
        </w:rPr>
      </w:pPr>
    </w:p>
    <w:p>
      <w:pPr>
        <w:jc w:val="both"/>
        <w:ind w:right="220" w:firstLine="509"/>
        <w:spacing w:after="0" w:line="25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and, to the extent enforceable, the federal district courts of the United States of America, will be the exclusive forum for the following types of actions or proceedings under Delaware statutory or common law:</w:t>
      </w:r>
    </w:p>
    <w:p>
      <w:pPr>
        <w:spacing w:after="0" w:line="67"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claim or cause of action for breach of a fiduciary duty owed by any of our current or former directors, officers or other employees to us or our stockholders;</w:t>
      </w:r>
    </w:p>
    <w:p>
      <w:pPr>
        <w:spacing w:after="0" w:line="76"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arising out of or pursuant to any provision of the DGCL, our certificate of incorporation or our bylaws;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claim or cause of action seeking to interpret, apply, enforce or determine the validity of our certificate of incorporation or our bylaws;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action or proceeding as to which the DGCL confers jurisdiction to the Court of Chancery of the State of Delaware; and</w:t>
      </w:r>
    </w:p>
    <w:p>
      <w:pPr>
        <w:spacing w:after="0" w:line="103" w:lineRule="exact"/>
        <w:rPr>
          <w:rFonts w:ascii="Arial" w:cs="Arial" w:eastAsia="Arial" w:hAnsi="Arial"/>
          <w:sz w:val="18"/>
          <w:szCs w:val="18"/>
          <w:color w:val="auto"/>
        </w:rPr>
      </w:pPr>
    </w:p>
    <w:p>
      <w:pPr>
        <w:jc w:val="both"/>
        <w:ind w:left="1020" w:right="80" w:hanging="503"/>
        <w:spacing w:after="0" w:line="256"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67"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Act or the Securities Exchange Act of 1934, or the Exchange Act, or any claim for which the U.S. federal courts have exclusive jurisdiction. Our amended and restated certificate of incorporation will provide that the federal district courts of the United States of America will be the exclusive forum for resolving any complaint asserting a cause of action arising under the Securities Act.</w:t>
      </w:r>
    </w:p>
    <w:p>
      <w:pPr>
        <w:spacing w:after="0" w:line="73"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any other court of competent jurisdiction were to find either exclusive-forum provision in our amended and restated certificate of incorporation to be inapplicable or unenforceable, we may incur additional costs associated with resolving the dispute in other jurisdictions, which could seriously harm our business.</w:t>
      </w:r>
    </w:p>
    <w:p>
      <w:pPr>
        <w:spacing w:after="0" w:line="42"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b w:val="1"/>
          <w:bCs w:val="1"/>
          <w:i w:val="1"/>
          <w:iCs w:val="1"/>
          <w:color w:val="auto"/>
        </w:rPr>
        <w:t>Insiders have substantial influence over us and could cause us to take actions that may not be, or refrain from taking actions that may be, in our best interest or in the best interest of our stockholders.</w:t>
      </w:r>
    </w:p>
    <w:p>
      <w:pPr>
        <w:spacing w:after="0" w:line="49" w:lineRule="exact"/>
        <w:rPr>
          <w:sz w:val="20"/>
          <w:szCs w:val="20"/>
          <w:color w:val="auto"/>
        </w:rPr>
      </w:pPr>
    </w:p>
    <w:p>
      <w:pPr>
        <w:ind w:right="180" w:firstLine="509"/>
        <w:spacing w:after="0" w:line="303" w:lineRule="auto"/>
        <w:rPr>
          <w:sz w:val="20"/>
          <w:szCs w:val="20"/>
          <w:color w:val="auto"/>
        </w:rPr>
      </w:pPr>
      <w:r>
        <w:rPr>
          <w:rFonts w:ascii="Arial" w:cs="Arial" w:eastAsia="Arial" w:hAnsi="Arial"/>
          <w:sz w:val="16"/>
          <w:szCs w:val="16"/>
          <w:color w:val="auto"/>
        </w:rPr>
        <w:t>As of November 1, 2022, we believe that our directors, executive officers and principal stockholders, together with their affiliates, owned, in the aggregate, approximately 45% of our outstanding common stock. As a result, if these or certain of these stockholders were to choose to act together, they may be able to affect the outcome of matters submitted to our stockholders for approval, as well as our management and affairs, such as:</w:t>
      </w:r>
    </w:p>
    <w:p>
      <w:pPr>
        <w:spacing w:after="0" w:line="32"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composition of our board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adoption of amendments to our certificate of incorporation and bylaws;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approval of mergers or sales of substantially all of our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capital structure and financing; and</w:t>
      </w:r>
    </w:p>
    <w:p>
      <w:pPr>
        <w:spacing w:after="0" w:line="103" w:lineRule="exact"/>
        <w:rPr>
          <w:rFonts w:ascii="Arial" w:cs="Arial" w:eastAsia="Arial" w:hAnsi="Arial"/>
          <w:sz w:val="18"/>
          <w:szCs w:val="18"/>
          <w:color w:val="auto"/>
        </w:rPr>
      </w:pPr>
    </w:p>
    <w:p>
      <w:pPr>
        <w:ind w:left="520" w:right="1600" w:hanging="3"/>
        <w:spacing w:after="0" w:line="367" w:lineRule="auto"/>
        <w:tabs>
          <w:tab w:leader="none" w:pos="102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approval of contracts between us and these stockholders or their affiliates, which could involve conflicts of interest. This concentration of ownership could harm the market price of our common stock by:</w:t>
      </w:r>
    </w:p>
    <w:p>
      <w:pPr>
        <w:spacing w:after="0" w:line="1"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 and making some transactions more difficult or impossible without the support of these stockholders, even if such transactions are beneficial to other stockholders;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requiring us to engage in transactions that may not be agreeable to or in the best interest of us or other stockholders.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ind w:left="260" w:right="240"/>
        <w:spacing w:after="0" w:line="303" w:lineRule="auto"/>
        <w:rPr>
          <w:sz w:val="20"/>
          <w:szCs w:val="20"/>
          <w:color w:val="auto"/>
        </w:rPr>
      </w:pPr>
      <w:r>
        <w:rPr>
          <w:rFonts w:ascii="Arial" w:cs="Arial" w:eastAsia="Arial" w:hAnsi="Arial"/>
          <w:sz w:val="16"/>
          <w:szCs w:val="16"/>
          <w:b w:val="1"/>
          <w:bCs w:val="1"/>
          <w:i w:val="1"/>
          <w:iCs w:val="1"/>
          <w:color w:val="auto"/>
        </w:rPr>
        <w:t>Our business, operations and clinical development plans and timelines, as well as the manufacturing, clinical trial and other business activities performed by us or by third parties with whom we conduct business, including our contract manufacturers, CROs, shippers, equipment suppliers and others, could be adversely affected by the effects of health epidemics, including the COVID-19 pandemic.</w:t>
      </w:r>
    </w:p>
    <w:p>
      <w:pPr>
        <w:spacing w:after="0" w:line="3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Our business could be adversely affected by health epidemics wherever we have clinical trial sites or other business operations. In addition, health epidemics could cause significant disruption in the operations of third-party manufacturers, CROs and other third parties upon whom we rely. For example, the COVID-19 pandemic and government measures taken in response had a significant impact on businesses and commerce worldwide, as worker shortages occurred; supply chains were disrupted; facilities and production were suspended across a variety of industries; and demand for certain goods and services, such as medical services and supplies, spiked, while demand for other goods and services, such as travel, fell. On March 18, 2020, the FDA issued updated industry guidance for conducting clinical trials during the COVID-19 pandemic, which requires clinical trial sponsors to consider the need to delay or cease patient recruitment, change protocol regarding patient monitoring and assessment that minimizes in-person visits, alternative administration of certain investigational products due to compromised clinical sites and to put in place new processes or modify existing processes in consultation with the FDA that would ensure the safety of clinical trial participants. In connection with COVID-19, we implemented optional work-from-home policies for certain employees, and we follow all city, state, and federal guidelines in regard to safe work policies. The effects of government orders may negatively impact productivity, disrupt our business and delay our clinical programs and timelines, the magnitude of which will depend, in part, on the length and severity of the restrictions and other limitations on our ability to conduct our business in the ordinary course.</w:t>
      </w:r>
    </w:p>
    <w:p>
      <w:pPr>
        <w:spacing w:after="0" w:line="53"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If our relationships with our suppliers or other vendors are terminated or scaled back as a result of the COVID-19 pandemic or other health epidemics, we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w:t>
      </w:r>
    </w:p>
    <w:p>
      <w:pPr>
        <w:spacing w:after="0" w:line="79" w:lineRule="exact"/>
        <w:rPr>
          <w:sz w:val="20"/>
          <w:szCs w:val="20"/>
          <w:color w:val="auto"/>
        </w:rPr>
      </w:pPr>
    </w:p>
    <w:p>
      <w:pPr>
        <w:ind w:right="140" w:firstLine="509"/>
        <w:spacing w:after="0" w:line="261" w:lineRule="auto"/>
        <w:rPr>
          <w:sz w:val="20"/>
          <w:szCs w:val="20"/>
          <w:color w:val="auto"/>
        </w:rPr>
      </w:pPr>
      <w:r>
        <w:rPr>
          <w:rFonts w:ascii="Arial" w:cs="Arial" w:eastAsia="Arial" w:hAnsi="Arial"/>
          <w:sz w:val="17"/>
          <w:szCs w:val="17"/>
          <w:color w:val="auto"/>
        </w:rPr>
        <w:t>In addition, our preclinical studies and clinical trials may be affected by the COVID-19 pandemic. Clinical site initiation, patient enrollment and activities that require visits to clinical sites, including data monitoring,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our clinical trials. Similarly, if we are unable to successfully recruit and retain patients and principal investigators and site staff who, as healthcare providers, may have heightened exposure to COVID-19 or experience additional restrictions by their institutions, city or state, our clinical trial operations could be adversely impacted.</w:t>
      </w:r>
    </w:p>
    <w:p>
      <w:pPr>
        <w:spacing w:after="0" w:line="6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spread of COVID-19, which has caused a broad impact globally, may materially affect us economically. While the economic impact brought by, and the duration of, COVID-19 may be difficult to assess or predict, a widespread pandemic has resulted in significant disruption of global financial markets, resulting in an economic downturn that could continue to significantly impact our business and operations and may reduce our ability to access capital, which could in the future negatively affect our liquidity. In addition, a recession or market correction resulting from the spread of COVID-19 could materially affect our business and the value of our common stock. In addition, a recurrence of COVID-19 cases could cause other widespread or more severe impacts depending on where infection rates are highest.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Further, we may experience additional disruptions that could severely impact our business and clinical trials, including:</w:t>
      </w:r>
    </w:p>
    <w:p>
      <w:pPr>
        <w:spacing w:after="0" w:line="117" w:lineRule="exact"/>
        <w:rPr>
          <w:sz w:val="20"/>
          <w:szCs w:val="20"/>
          <w:color w:val="auto"/>
        </w:rPr>
      </w:pPr>
    </w:p>
    <w:p>
      <w:pPr>
        <w:ind w:left="1020" w:right="8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planned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128" w:lineRule="exact"/>
        <w:rPr>
          <w:rFonts w:ascii="Arial" w:cs="Arial" w:eastAsia="Arial" w:hAnsi="Arial"/>
          <w:sz w:val="17"/>
          <w:szCs w:val="17"/>
          <w:color w:val="auto"/>
        </w:rPr>
      </w:pPr>
    </w:p>
    <w:p>
      <w:pPr>
        <w:ind w:left="1020" w:right="480" w:hanging="503"/>
        <w:spacing w:after="0" w:line="324"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planned clinical trials, including because of sickness of employees or their families or the desire of employees to avoid contact with large groups of people;</w:t>
      </w:r>
    </w:p>
    <w:p>
      <w:pPr>
        <w:spacing w:after="0" w:line="16" w:lineRule="exact"/>
        <w:rPr>
          <w:rFonts w:ascii="Arial" w:cs="Arial" w:eastAsia="Arial" w:hAnsi="Arial"/>
          <w:sz w:val="16"/>
          <w:szCs w:val="16"/>
          <w:color w:val="auto"/>
        </w:rPr>
      </w:pPr>
    </w:p>
    <w:p>
      <w:pPr>
        <w:ind w:left="1020" w:right="8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 that participants enrolled in our planned clinical trials will acquire COVID-19 while the clinical trial is ongoing, which could impact the results of the clinical trial, including by increasing the number of observed adverse events;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these affected geographies.</w:t>
      </w:r>
    </w:p>
    <w:p>
      <w:pPr>
        <w:spacing w:after="0" w:line="10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These and similar, and perhaps more severe, disruptions in our operations could have a material adverse effect on our business, results of operations, cash flows, financial condition and/or prospects.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4" w:name="page65"/>
    <w:bookmarkEnd w:id="64"/>
    <w:p>
      <w:pPr>
        <w:ind w:right="20" w:firstLine="509"/>
        <w:spacing w:after="0" w:line="267" w:lineRule="auto"/>
        <w:rPr>
          <w:sz w:val="20"/>
          <w:szCs w:val="20"/>
          <w:color w:val="auto"/>
        </w:rPr>
      </w:pPr>
      <w:r>
        <w:rPr>
          <w:rFonts w:ascii="Arial" w:cs="Arial" w:eastAsia="Arial" w:hAnsi="Arial"/>
          <w:sz w:val="17"/>
          <w:szCs w:val="17"/>
          <w:color w:val="auto"/>
        </w:rPr>
        <w:t>The COVID-19 pandemic continues to evolve. The ultimate impact of the COVID-19 pandemic or a similar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continue to monitor the COVID-19 situation closely. To the extent the COVID-19 pandemic adversely affects our business, results of operations, cash flows, financial condition and/or prospects, it may also have the effect of exacerbating many of the other risks described in this “Risk Factors” section.</w:t>
      </w:r>
    </w:p>
    <w:p>
      <w:pPr>
        <w:spacing w:after="0" w:line="60" w:lineRule="exact"/>
        <w:rPr>
          <w:sz w:val="20"/>
          <w:szCs w:val="20"/>
          <w:color w:val="auto"/>
        </w:rPr>
      </w:pPr>
    </w:p>
    <w:p>
      <w:pPr>
        <w:jc w:val="both"/>
        <w:ind w:left="260" w:right="20"/>
        <w:spacing w:after="0" w:line="303" w:lineRule="auto"/>
        <w:rPr>
          <w:sz w:val="20"/>
          <w:szCs w:val="20"/>
          <w:color w:val="auto"/>
        </w:rPr>
      </w:pPr>
      <w:r>
        <w:rPr>
          <w:rFonts w:ascii="Arial" w:cs="Arial" w:eastAsia="Arial" w:hAnsi="Arial"/>
          <w:sz w:val="16"/>
          <w:szCs w:val="16"/>
          <w:b w:val="1"/>
          <w:bCs w:val="1"/>
          <w:i w:val="1"/>
          <w:iCs w:val="1"/>
          <w:color w:val="auto"/>
        </w:rPr>
        <w:t>Our computer systems or data, or those of our collaborators or other contractors or consultants, maybe compromised, which could result in adverse consequences, including but not limited to regulatory investigations or actions; litigation; fines and penalties; significant disruption of our product development programs and our ability to operate our business effectively; reputational harm; and other adverse consequences.</w:t>
      </w:r>
    </w:p>
    <w:p>
      <w:pPr>
        <w:spacing w:after="0" w:line="32"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Our computer systems and those of our current and any future collaborators and other contractors or consultants may be vulnerable to a variety of disruptive and evolving threats, including computer viruses, malicious or unintentional actions or inactions that cause vulnerabilities, malware, supply chain attacks, ransomware, unauthorized access, natural disasters, terrorism, war and telecommunication and electrical failures.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products/services) or the third-party information technology systems that support us and our services.</w:t>
      </w:r>
    </w:p>
    <w:p>
      <w:pPr>
        <w:spacing w:after="0" w:line="72" w:lineRule="exact"/>
        <w:rPr>
          <w:sz w:val="20"/>
          <w:szCs w:val="20"/>
          <w:color w:val="auto"/>
        </w:rPr>
      </w:pPr>
    </w:p>
    <w:p>
      <w:pPr>
        <w:ind w:right="80" w:firstLine="509"/>
        <w:spacing w:after="0" w:line="261" w:lineRule="auto"/>
        <w:rPr>
          <w:sz w:val="20"/>
          <w:szCs w:val="20"/>
          <w:color w:val="auto"/>
        </w:rPr>
      </w:pPr>
      <w:r>
        <w:rPr>
          <w:rFonts w:ascii="Arial" w:cs="Arial" w:eastAsia="Arial" w:hAnsi="Arial"/>
          <w:sz w:val="17"/>
          <w:szCs w:val="17"/>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our reputation could be damaged, and the further development and commercialization of our product candidates could be delayed.</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are or may become subject to a variety of privacy and data security laws, and our failure to comply with them could harm our business.</w:t>
      </w:r>
    </w:p>
    <w:p>
      <w:pPr>
        <w:spacing w:after="0" w:line="127"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We maintain sensitive information, including confidential business and personal information in connection with our preclinical studies and our employees, and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constantly evolving laws can be subject to varying interpretations. The General Data Protection Regulation, the GDPR, applies in the European Economic Area, the EEA, into which we may expand our business. The GDPR governs the collection, use, disclosure, transfer or other processing of personal data of European data subjects. Among other things, the GDPR imposes requirements regarding the security of personal data and notification of data processing obligations to the competent national data processing authorities, changes the lawful bases on which personal data can be processed, expands the definition of personal data over prior EU law and requires 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w:t>
      </w:r>
    </w:p>
    <w:p>
      <w:pPr>
        <w:spacing w:after="0" w:line="59"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w:t>
      </w:r>
    </w:p>
    <w:p>
      <w:pPr>
        <w:spacing w:after="0" w:line="5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In addition, states are constantly adopting new laws or amending existing laws, requiring attention to frequently changing regulatory requirements. For example, the California Consumer Privacy Act, or the CCPA, took effect on January 1, 2020 and has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5" w:name="page66"/>
    <w:bookmarkEnd w:id="65"/>
    <w:p>
      <w:pPr>
        <w:ind w:right="120"/>
        <w:spacing w:after="0" w:line="280" w:lineRule="auto"/>
        <w:rPr>
          <w:sz w:val="20"/>
          <w:szCs w:val="20"/>
          <w:color w:val="auto"/>
        </w:rPr>
      </w:pPr>
      <w:r>
        <w:rPr>
          <w:rFonts w:ascii="Arial" w:cs="Arial" w:eastAsia="Arial" w:hAnsi="Arial"/>
          <w:sz w:val="16"/>
          <w:szCs w:val="16"/>
          <w:color w:val="auto"/>
        </w:rPr>
        <w:t>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can include any of our current or future employees who may be California residents) and provide such residents new ways to opt-out of certain sales of personal information. The CCPA provides for civil penalties for violations, as well as a private right of action for data breaches that is expected to increase data breach litigation. As we expand our operations and trials (both preclinical or clinical), the CCPA may increase our compliance costs and potential liability. Some observers have noted that the CCPA could mark the beginning of a trend toward more stringent privacy legislation in the United States. Other states are beginning to pass similar laws.</w:t>
      </w:r>
    </w:p>
    <w:p>
      <w:pPr>
        <w:spacing w:after="0" w:line="63"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In addition, it is anticipated that the California Privacy Rights Act of 2020 (“CPRA”), effective January 1, 2023, will expand the CCPA. For example, the CPRA establishes a new California Privacy Protection Agency to implement and enforce the CPRA, which could increase the risk of an enforcement action. Other states have enacted data privacy laws. For example, Virginia passed the Consumer Data Protection Act, and Colorado passed the Colorado Privacy Act, both of which differ from the CPRA and become effective in 2023. If we become subject to new data privacy laws, at the state level,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66" w:lineRule="exact"/>
        <w:rPr>
          <w:sz w:val="20"/>
          <w:szCs w:val="20"/>
          <w:color w:val="auto"/>
        </w:rPr>
      </w:pPr>
    </w:p>
    <w:p>
      <w:pPr>
        <w:jc w:val="both"/>
        <w:ind w:right="260" w:firstLine="509"/>
        <w:spacing w:after="0" w:line="256" w:lineRule="auto"/>
        <w:rPr>
          <w:sz w:val="20"/>
          <w:szCs w:val="20"/>
          <w:color w:val="auto"/>
        </w:rPr>
      </w:pPr>
      <w:r>
        <w:rPr>
          <w:rFonts w:ascii="Arial" w:cs="Arial" w:eastAsia="Arial" w:hAnsi="Arial"/>
          <w:sz w:val="18"/>
          <w:szCs w:val="18"/>
          <w:color w:val="auto"/>
        </w:rPr>
        <w:t>As we expand our operations and trials (both preclinical or clinical), the CCPA, CPRA, and other similar state laws may increase our compliance costs and potential liability. Some observers have noted that the CCPA, CPRA, and other similar state laws could mark the beginning of a trend toward more stringent privacy legislation in the United States.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6"/>
          <w:szCs w:val="16"/>
          <w:color w:val="auto"/>
        </w:rPr>
        <w:t>Our operations, and those of our vendors and suppliers, could be subject to power shortages, telecommunications failures, water shortages, civil unrest, labor disputes, violence, earthquakes, floods, hurricanes, typhoons, fires, extreme weather conditions, infectious disease, medical epidemics and other natural or man-made disasters or business interruptions, for which we are predominantly self-insured. The occurrence of any of these business disruptions could seriously harm our operations and financial condition and increase our costs and expenses. We currently rely on third-party suppliers to produce and process our product candidates on a patient-by-patient basis. Our ability to obtain clinical supplies of our product candidates could be disrupted if the operations of these suppliers are affected by a man-made or natural disaster or other business interruption.</w:t>
      </w:r>
    </w:p>
    <w:p>
      <w:pPr>
        <w:spacing w:after="0" w:line="67" w:lineRule="exact"/>
        <w:rPr>
          <w:sz w:val="20"/>
          <w:szCs w:val="20"/>
          <w:color w:val="auto"/>
        </w:rPr>
      </w:pPr>
    </w:p>
    <w:p>
      <w:pPr>
        <w:ind w:left="260" w:right="60"/>
        <w:spacing w:after="0" w:line="261"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the price and trading volume of our common stock could decline.</w:t>
      </w:r>
    </w:p>
    <w:p>
      <w:pPr>
        <w:spacing w:after="0" w:line="63"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initiate or continue to provide research coverage of our common stock, and such lack of research coverage may adversely affect the market price of our common stock. Even if we continue to have equity research analyst coverage, we will not have any control over the analysts or the content and opinions included in their reports. The price of our common stock could decline if one or more equity research analysts downgrade our common stock or issue other unfavorable commentary or research about us. If one or more equity research analysts ceases coverage of us or fails to publish reports on us regularly, demand for our common stock could decrease, which in turn could cause the trading price or trading volume of our common stock to decline.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520" w:right="7400" w:hanging="512"/>
        <w:spacing w:after="0" w:line="391" w:lineRule="auto"/>
        <w:tabs>
          <w:tab w:leader="none" w:pos="26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162" w:lineRule="exact"/>
        <w:rPr>
          <w:rFonts w:ascii="Arial" w:cs="Arial" w:eastAsia="Arial" w:hAnsi="Arial"/>
          <w:sz w:val="18"/>
          <w:szCs w:val="18"/>
          <w:b w:val="1"/>
          <w:bCs w:val="1"/>
          <w:color w:val="auto"/>
        </w:rPr>
      </w:pPr>
    </w:p>
    <w:p>
      <w:pPr>
        <w:ind w:left="280" w:hanging="272"/>
        <w:spacing w:after="0"/>
        <w:tabs>
          <w:tab w:leader="none" w:pos="2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On February 3, 2021, our Registration Statement on Form S-1, as amended (File No. 333-252704) was declared effective in connection with our IPO, pursuant to which we sold 8,030,295 shares of our common stock, including the partial exercise of the underwriters’ option to purchase additional shares, at a price to the public of $19.00 per share. The initial closing of our IPO occurred on February 8, 2021. We received net proceeds from the IPO of $138.5 million (after deducting underwriters’ discounts and commissions and additional offering related costs of $14.1 million). Citigroup, Piper Sandler &amp; Co. and Berenberg acted as joint book-running managers for the IPO. Oppenheimer &amp; Co. acted as the lead manager for the IPO.</w:t>
      </w:r>
    </w:p>
    <w:p>
      <w:pPr>
        <w:spacing w:after="0" w:line="157"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No expenses incurred by us in connection with our initial public offering were paid directly or indirectly to (i) any of our officers or directors or their associates, (ii) any persons owning 10% or more of any class of our equity securities, or (iii) any of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6" w:name="page67"/>
    <w:bookmarkEnd w:id="66"/>
    <w:p>
      <w:pPr>
        <w:ind w:right="140"/>
        <w:spacing w:after="0" w:line="277" w:lineRule="auto"/>
        <w:rPr>
          <w:sz w:val="20"/>
          <w:szCs w:val="20"/>
          <w:color w:val="auto"/>
        </w:rPr>
      </w:pPr>
      <w:r>
        <w:rPr>
          <w:rFonts w:ascii="Arial" w:cs="Arial" w:eastAsia="Arial" w:hAnsi="Arial"/>
          <w:sz w:val="18"/>
          <w:szCs w:val="18"/>
          <w:color w:val="auto"/>
        </w:rPr>
        <w:t>affiliates, other than payments in the ordinary course of business to officers for salaries and to non-employee directors as compensation for board or board committee service.</w:t>
      </w:r>
    </w:p>
    <w:p>
      <w:pPr>
        <w:spacing w:after="0" w:line="157"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There has been no material change in the planned use of proceeds from our initial public offering from those disclosed in the final prospectus for our IPO dated as of February 3, 2021, and filed with the SEC on February 4, 2021 pursuant to Rule 424(b)(4).</w:t>
      </w:r>
    </w:p>
    <w:p>
      <w:pPr>
        <w:spacing w:after="0" w:line="288" w:lineRule="exact"/>
        <w:rPr>
          <w:sz w:val="20"/>
          <w:szCs w:val="20"/>
          <w:color w:val="auto"/>
        </w:rPr>
      </w:pPr>
    </w:p>
    <w:p>
      <w:pPr>
        <w:ind w:left="520" w:right="8140" w:hanging="512"/>
        <w:spacing w:after="0" w:line="391" w:lineRule="auto"/>
        <w:tabs>
          <w:tab w:leader="none" w:pos="25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Financial Statement Schedules.</w:t>
      </w:r>
    </w:p>
    <w:p>
      <w:pPr>
        <w:spacing w:after="0" w:line="10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40" w:type="dxa"/>
            <w:vAlign w:val="bottom"/>
            <w:gridSpan w:val="7"/>
            <w:vMerge w:val="restart"/>
          </w:tcPr>
          <w:p>
            <w:pPr>
              <w:ind w:left="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14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9980" w:type="dxa"/>
            <w:vAlign w:val="bottom"/>
            <w:gridSpan w:val="9"/>
          </w:tcPr>
          <w:p>
            <w:pPr>
              <w:spacing w:after="0"/>
              <w:rPr>
                <w:rFonts w:ascii="Arial" w:cs="Arial" w:eastAsia="Arial" w:hAnsi="Arial"/>
                <w:sz w:val="18"/>
                <w:szCs w:val="18"/>
                <w:color w:val="0563C1"/>
                <w:w w:val="92"/>
              </w:rPr>
            </w:pPr>
            <w:hyperlink r:id="rId266">
              <w:r>
                <w:rPr>
                  <w:rFonts w:ascii="Arial" w:cs="Arial" w:eastAsia="Arial" w:hAnsi="Arial"/>
                  <w:sz w:val="18"/>
                  <w:szCs w:val="18"/>
                  <w:color w:val="0563C1"/>
                  <w:w w:val="92"/>
                </w:rPr>
                <w:t>Amended and Restated Certificate of Incorporation (incorporated by reference to Exhibit 3.1 to the Registrant’s Current Report on Form</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80" w:type="dxa"/>
            <w:vAlign w:val="bottom"/>
            <w:tcBorders>
              <w:top w:val="single" w:sz="8" w:color="0563C1"/>
              <w:bottom w:val="single" w:sz="8" w:color="0563C1"/>
            </w:tcBorders>
            <w:gridSpan w:val="3"/>
          </w:tcPr>
          <w:p>
            <w:pPr>
              <w:spacing w:after="0" w:line="169" w:lineRule="exact"/>
              <w:rPr>
                <w:rFonts w:ascii="Arial" w:cs="Arial" w:eastAsia="Arial" w:hAnsi="Arial"/>
                <w:sz w:val="18"/>
                <w:szCs w:val="18"/>
                <w:color w:val="0563C1"/>
                <w:w w:val="92"/>
              </w:rPr>
            </w:pPr>
            <w:hyperlink r:id="rId266">
              <w:r>
                <w:rPr>
                  <w:rFonts w:ascii="Arial" w:cs="Arial" w:eastAsia="Arial" w:hAnsi="Arial"/>
                  <w:sz w:val="18"/>
                  <w:szCs w:val="18"/>
                  <w:color w:val="0563C1"/>
                  <w:w w:val="92"/>
                </w:rPr>
                <w:t>8-K (File No. 001-39980), filed with the SEC on February 11, 2021).</w:t>
              </w:r>
            </w:hyperlink>
          </w:p>
        </w:tc>
        <w:tc>
          <w:tcPr>
            <w:tcW w:w="4880" w:type="dxa"/>
            <w:vAlign w:val="bottom"/>
            <w:tcBorders>
              <w:top w:val="single" w:sz="8" w:color="0563C1"/>
            </w:tcBorders>
            <w:gridSpan w:val="5"/>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color w:val="0563C1"/>
                <w:w w:val="93"/>
              </w:rPr>
            </w:pPr>
            <w:hyperlink r:id="rId267">
              <w:r>
                <w:rPr>
                  <w:rFonts w:ascii="Arial" w:cs="Arial" w:eastAsia="Arial" w:hAnsi="Arial"/>
                  <w:sz w:val="18"/>
                  <w:szCs w:val="18"/>
                  <w:color w:val="0563C1"/>
                  <w:w w:val="93"/>
                </w:rPr>
                <w:t>Amended and Restated Bylaws (incorporated by reference to Exhibit 3.2 to the Registrant’s Current Report on Form 8-K (File No. 001-</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80" w:type="dxa"/>
            <w:vAlign w:val="bottom"/>
            <w:tcBorders>
              <w:top w:val="single" w:sz="8" w:color="0563C1"/>
            </w:tcBorders>
            <w:gridSpan w:val="6"/>
          </w:tcPr>
          <w:p>
            <w:pPr>
              <w:spacing w:after="0" w:line="169" w:lineRule="exact"/>
              <w:rPr>
                <w:rFonts w:ascii="Arial" w:cs="Arial" w:eastAsia="Arial" w:hAnsi="Arial"/>
                <w:sz w:val="18"/>
                <w:szCs w:val="18"/>
                <w:color w:val="0563C1"/>
              </w:rPr>
            </w:pPr>
            <w:hyperlink r:id="rId267">
              <w:r>
                <w:rPr>
                  <w:rFonts w:ascii="Arial" w:cs="Arial" w:eastAsia="Arial" w:hAnsi="Arial"/>
                  <w:sz w:val="18"/>
                  <w:szCs w:val="18"/>
                  <w:color w:val="0563C1"/>
                </w:rPr>
                <w:t>39980)</w:t>
              </w:r>
              <w:r>
                <w:rPr>
                  <w:rFonts w:ascii="Arial" w:cs="Arial" w:eastAsia="Arial" w:hAnsi="Arial"/>
                  <w:sz w:val="18"/>
                  <w:szCs w:val="18"/>
                  <w:u w:val="single" w:color="auto"/>
                  <w:color w:val="0563C1"/>
                </w:rPr>
                <w:t>,</w:t>
              </w:r>
              <w:r>
                <w:rPr>
                  <w:rFonts w:ascii="Arial" w:cs="Arial" w:eastAsia="Arial" w:hAnsi="Arial"/>
                  <w:sz w:val="18"/>
                  <w:szCs w:val="18"/>
                  <w:color w:val="0563C1"/>
                </w:rPr>
                <w:t xml:space="preserve"> filed with the SEC on February 11, 2021).</w:t>
              </w:r>
            </w:hyperlink>
          </w:p>
        </w:tc>
        <w:tc>
          <w:tcPr>
            <w:tcW w:w="4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420" w:type="dxa"/>
            <w:vAlign w:val="bottom"/>
            <w:shd w:val="clear" w:color="auto" w:fill="0563C1"/>
          </w:tcPr>
          <w:p>
            <w:pPr>
              <w:spacing w:after="0" w:line="20" w:lineRule="exact"/>
              <w:rPr>
                <w:sz w:val="1"/>
                <w:szCs w:val="1"/>
                <w:color w:val="auto"/>
              </w:rPr>
            </w:pPr>
          </w:p>
        </w:tc>
        <w:tc>
          <w:tcPr>
            <w:tcW w:w="220" w:type="dxa"/>
            <w:vAlign w:val="bottom"/>
            <w:tcBorders>
              <w:right w:val="single" w:sz="8" w:color="0000EE"/>
            </w:tcBorders>
            <w:shd w:val="clear" w:color="auto" w:fill="0563C1"/>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980" w:type="dxa"/>
            <w:vAlign w:val="bottom"/>
            <w:gridSpan w:val="9"/>
          </w:tcPr>
          <w:p>
            <w:pPr>
              <w:spacing w:after="0"/>
              <w:rPr>
                <w:sz w:val="20"/>
                <w:szCs w:val="20"/>
                <w:color w:val="auto"/>
              </w:rPr>
            </w:pPr>
            <w:r>
              <w:rPr>
                <w:rFonts w:ascii="Arial" w:cs="Arial" w:eastAsia="Arial" w:hAnsi="Arial"/>
                <w:sz w:val="18"/>
                <w:szCs w:val="18"/>
                <w:color w:val="0563C1"/>
                <w:w w:val="94"/>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60" w:type="dxa"/>
            <w:vAlign w:val="bottom"/>
            <w:tcBorders>
              <w:top w:val="single" w:sz="8" w:color="0563C1"/>
            </w:tcBorders>
            <w:gridSpan w:val="5"/>
          </w:tcPr>
          <w:p>
            <w:pPr>
              <w:spacing w:after="0" w:line="169" w:lineRule="exact"/>
              <w:rPr>
                <w:sz w:val="20"/>
                <w:szCs w:val="20"/>
                <w:color w:val="auto"/>
              </w:rPr>
            </w:pPr>
            <w:r>
              <w:rPr>
                <w:rFonts w:ascii="Arial" w:cs="Arial" w:eastAsia="Arial" w:hAnsi="Arial"/>
                <w:sz w:val="18"/>
                <w:szCs w:val="18"/>
                <w:color w:val="0563C1"/>
              </w:rPr>
              <w:t>Adopted Pursuant to Section 302 of the Sarbanes-Oxley Act of 2002.</w:t>
            </w:r>
          </w:p>
        </w:tc>
        <w:tc>
          <w:tcPr>
            <w:tcW w:w="16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420" w:type="dxa"/>
            <w:vAlign w:val="bottom"/>
            <w:shd w:val="clear" w:color="auto" w:fill="0563C1"/>
          </w:tcPr>
          <w:p>
            <w:pPr>
              <w:spacing w:after="0" w:line="20" w:lineRule="exact"/>
              <w:rPr>
                <w:sz w:val="1"/>
                <w:szCs w:val="1"/>
                <w:color w:val="auto"/>
              </w:rPr>
            </w:pPr>
          </w:p>
        </w:tc>
        <w:tc>
          <w:tcPr>
            <w:tcW w:w="1560" w:type="dxa"/>
            <w:vAlign w:val="bottom"/>
            <w:gridSpan w:val="2"/>
            <w:shd w:val="clear" w:color="auto" w:fill="0563C1"/>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980" w:type="dxa"/>
            <w:vAlign w:val="bottom"/>
            <w:gridSpan w:val="9"/>
          </w:tcPr>
          <w:p>
            <w:pPr>
              <w:spacing w:after="0"/>
              <w:rPr>
                <w:sz w:val="20"/>
                <w:szCs w:val="20"/>
                <w:color w:val="auto"/>
              </w:rPr>
            </w:pPr>
            <w:r>
              <w:rPr>
                <w:rFonts w:ascii="Arial" w:cs="Arial" w:eastAsia="Arial" w:hAnsi="Arial"/>
                <w:sz w:val="18"/>
                <w:szCs w:val="18"/>
                <w:color w:val="0563C1"/>
                <w:w w:val="94"/>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20" w:type="dxa"/>
            <w:vAlign w:val="bottom"/>
            <w:tcBorders>
              <w:top w:val="single" w:sz="8" w:color="0563C1"/>
            </w:tcBorders>
            <w:gridSpan w:val="4"/>
          </w:tcPr>
          <w:p>
            <w:pPr>
              <w:spacing w:after="0" w:line="169" w:lineRule="exact"/>
              <w:rPr>
                <w:sz w:val="20"/>
                <w:szCs w:val="20"/>
                <w:color w:val="auto"/>
              </w:rPr>
            </w:pPr>
            <w:r>
              <w:rPr>
                <w:rFonts w:ascii="Arial" w:cs="Arial" w:eastAsia="Arial" w:hAnsi="Arial"/>
                <w:sz w:val="18"/>
                <w:szCs w:val="18"/>
                <w:color w:val="0563C1"/>
              </w:rPr>
              <w:t>Adopted Pursuant to Section 302 of the Sarbanes-Oxley Act of 2002.</w:t>
            </w:r>
          </w:p>
        </w:tc>
        <w:tc>
          <w:tcPr>
            <w:tcW w:w="200" w:type="dxa"/>
            <w:vAlign w:val="bottom"/>
            <w:gridSpan w:val="3"/>
          </w:tcPr>
          <w:p>
            <w:pPr>
              <w:spacing w:after="0"/>
              <w:rPr>
                <w:sz w:val="14"/>
                <w:szCs w:val="14"/>
                <w:color w:val="auto"/>
              </w:rPr>
            </w:pP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420" w:type="dxa"/>
            <w:vAlign w:val="bottom"/>
            <w:shd w:val="clear" w:color="auto" w:fill="0563C1"/>
          </w:tcPr>
          <w:p>
            <w:pPr>
              <w:spacing w:after="0" w:line="20" w:lineRule="exact"/>
              <w:rPr>
                <w:sz w:val="1"/>
                <w:szCs w:val="1"/>
                <w:color w:val="auto"/>
              </w:rPr>
            </w:pPr>
          </w:p>
        </w:tc>
        <w:tc>
          <w:tcPr>
            <w:tcW w:w="1560" w:type="dxa"/>
            <w:vAlign w:val="bottom"/>
            <w:gridSpan w:val="2"/>
            <w:shd w:val="clear" w:color="auto" w:fill="0563C1"/>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980" w:type="dxa"/>
            <w:vAlign w:val="bottom"/>
            <w:gridSpan w:val="9"/>
          </w:tcPr>
          <w:p>
            <w:pPr>
              <w:spacing w:after="0"/>
              <w:rPr>
                <w:sz w:val="20"/>
                <w:szCs w:val="20"/>
                <w:color w:val="auto"/>
              </w:rPr>
            </w:pPr>
            <w:r>
              <w:rPr>
                <w:rFonts w:ascii="Arial" w:cs="Arial" w:eastAsia="Arial" w:hAnsi="Arial"/>
                <w:sz w:val="18"/>
                <w:szCs w:val="18"/>
                <w:color w:val="0563C1"/>
                <w:w w:val="93"/>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20" w:type="dxa"/>
            <w:vAlign w:val="bottom"/>
            <w:tcBorders>
              <w:top w:val="single" w:sz="8" w:color="0563C1"/>
            </w:tcBorders>
            <w:gridSpan w:val="7"/>
          </w:tcPr>
          <w:p>
            <w:pPr>
              <w:spacing w:after="0" w:line="169" w:lineRule="exact"/>
              <w:rPr>
                <w:sz w:val="20"/>
                <w:szCs w:val="20"/>
                <w:color w:val="auto"/>
              </w:rPr>
            </w:pPr>
            <w:r>
              <w:rPr>
                <w:rFonts w:ascii="Arial" w:cs="Arial" w:eastAsia="Arial" w:hAnsi="Arial"/>
                <w:sz w:val="18"/>
                <w:szCs w:val="18"/>
                <w:color w:val="0563C1"/>
              </w:rPr>
              <w:t>Section 906 of the Sarbanes-Oxley Act of 2002.</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4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60" w:right="40" w:hanging="1239"/>
        <w:spacing w:after="0" w:line="228"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Quarterly Report on Form 10-Q for the period ended September 30, 2022, formatted in Inline Extensible Business Reporting Language (XBRL): (i) the Condensed Consolidated Balance Sheets, (ii) the Condensed Consolidated Statements of Operations, (iii) the Condensed Consolidated Statements of Convertible Preferred Stock, Common Stock and Stockholders’ Equity (Deficit), (iv) the Condensed Consolidated Statements of Cash Flows, and (v) Notes to the Condensed Consolidated Financial Statements (filed herewith)</w:t>
      </w:r>
    </w:p>
    <w:p>
      <w:pPr>
        <w:spacing w:after="0" w:line="83" w:lineRule="exact"/>
        <w:rPr>
          <w:sz w:val="20"/>
          <w:szCs w:val="20"/>
          <w:color w:val="auto"/>
        </w:rPr>
      </w:pPr>
    </w:p>
    <w:p>
      <w:pPr>
        <w:ind w:right="4200" w:firstLine="21"/>
        <w:spacing w:after="0" w:line="392" w:lineRule="auto"/>
        <w:tabs>
          <w:tab w:leader="none" w:pos="1256"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520" w:right="20" w:hanging="512"/>
        <w:spacing w:after="0" w:line="268" w:lineRule="auto"/>
        <w:tabs>
          <w:tab w:leader="none" w:pos="371"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9512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7" w:name="page68"/>
    <w:bookmarkEnd w:id="67"/>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Sensei Biotherapeutics, Inc.</w:t>
      </w:r>
    </w:p>
    <w:p>
      <w:pPr>
        <w:spacing w:after="0" w:line="225" w:lineRule="exact"/>
        <w:rPr>
          <w:sz w:val="20"/>
          <w:szCs w:val="20"/>
          <w:color w:val="auto"/>
        </w:rPr>
      </w:pPr>
    </w:p>
    <w:p>
      <w:pPr>
        <w:ind w:left="20"/>
        <w:spacing w:after="0"/>
        <w:tabs>
          <w:tab w:leader="none" w:pos="560" w:val="left"/>
          <w:tab w:leader="none" w:pos="5640" w:val="left"/>
          <w:tab w:leader="none" w:pos="8100" w:val="left"/>
        </w:tabs>
        <w:rPr>
          <w:sz w:val="20"/>
          <w:szCs w:val="20"/>
          <w:color w:val="auto"/>
        </w:rPr>
      </w:pPr>
      <w:r>
        <w:rPr>
          <w:rFonts w:ascii="Arial" w:cs="Arial" w:eastAsia="Arial" w:hAnsi="Arial"/>
          <w:sz w:val="18"/>
          <w:szCs w:val="18"/>
          <w:color w:val="auto"/>
        </w:rPr>
        <w:t>Date:</w:t>
        <w:tab/>
        <w:t>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Celebi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John Celebi</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left="5660"/>
        <w:spacing w:after="0"/>
        <w:tabs>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Erin Colgan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Erin Colgan</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4" w:right="4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John Celebi, certify that:</w:t>
      </w:r>
    </w:p>
    <w:p>
      <w:pPr>
        <w:spacing w:after="0" w:line="212"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2022 of Sensei Biotherapeutics, Inc. (the “registrant”);</w:t>
      </w:r>
    </w:p>
    <w:p>
      <w:pPr>
        <w:spacing w:after="0" w:line="248" w:lineRule="exact"/>
        <w:rPr>
          <w:rFonts w:ascii="Arial" w:cs="Arial" w:eastAsia="Arial" w:hAnsi="Arial"/>
          <w:sz w:val="16"/>
          <w:szCs w:val="16"/>
          <w:color w:val="auto"/>
        </w:rPr>
      </w:pPr>
    </w:p>
    <w:p>
      <w:pPr>
        <w:jc w:val="both"/>
        <w:ind w:left="520" w:right="260" w:hanging="512"/>
        <w:spacing w:after="0" w:line="248"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56"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5580" w:right="4060" w:hanging="6034"/>
        <w:spacing w:after="0" w:line="251" w:lineRule="auto"/>
        <w:tabs>
          <w:tab w:leader="none" w:pos="556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 /s/ John Celebi John Celebi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-128270</wp:posOffset>
            </wp:positionV>
            <wp:extent cx="33000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ind w:left="6060"/>
        <w:spacing w:after="0" w:line="220"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273685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Erin Colgan, certify that:</w:t>
      </w:r>
    </w:p>
    <w:p>
      <w:pPr>
        <w:spacing w:after="0" w:line="212"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2022 of Sensei Biotherapeutics, Inc. (the “registrant”);</w:t>
      </w:r>
    </w:p>
    <w:p>
      <w:pPr>
        <w:spacing w:after="0" w:line="248" w:lineRule="exact"/>
        <w:rPr>
          <w:rFonts w:ascii="Arial" w:cs="Arial" w:eastAsia="Arial" w:hAnsi="Arial"/>
          <w:sz w:val="16"/>
          <w:szCs w:val="16"/>
          <w:color w:val="auto"/>
        </w:rPr>
      </w:pPr>
    </w:p>
    <w:p>
      <w:pPr>
        <w:jc w:val="both"/>
        <w:ind w:left="520" w:right="260" w:hanging="512"/>
        <w:spacing w:after="0" w:line="248"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56"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ind w:left="20"/>
        <w:spacing w:after="0"/>
        <w:tabs>
          <w:tab w:leader="none" w:pos="574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6"/>
          <w:szCs w:val="16"/>
          <w:color w:val="auto"/>
        </w:rPr>
        <w:t>/s/ Erin Colgan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4445</wp:posOffset>
            </wp:positionV>
            <wp:extent cx="35229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Erin Colgan</w:t>
      </w:r>
    </w:p>
    <w:p>
      <w:pPr>
        <w:ind w:left="5700"/>
        <w:spacing w:after="0" w:line="232" w:lineRule="auto"/>
        <w:rPr>
          <w:sz w:val="20"/>
          <w:szCs w:val="20"/>
          <w:color w:val="auto"/>
        </w:rPr>
      </w:pPr>
      <w:r>
        <w:rPr>
          <w:rFonts w:ascii="Arial" w:cs="Arial" w:eastAsia="Arial" w:hAnsi="Arial"/>
          <w:sz w:val="18"/>
          <w:szCs w:val="18"/>
          <w:color w:val="auto"/>
        </w:rPr>
        <w:t>Chief Financial Officer</w:t>
      </w:r>
    </w:p>
    <w:p>
      <w:pPr>
        <w:ind w:left="57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273685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CERTIFICATIONS OF</w:t>
      </w:r>
    </w:p>
    <w:p>
      <w:pPr>
        <w:spacing w:after="0" w:line="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jc w:val="center"/>
        <w:spacing w:after="0" w:line="234" w:lineRule="auto"/>
        <w:rPr>
          <w:sz w:val="20"/>
          <w:szCs w:val="20"/>
          <w:color w:val="auto"/>
        </w:rPr>
      </w:pPr>
      <w:r>
        <w:rPr>
          <w:rFonts w:ascii="Arial" w:cs="Arial" w:eastAsia="Arial" w:hAnsi="Arial"/>
          <w:sz w:val="18"/>
          <w:szCs w:val="18"/>
          <w:b w:val="1"/>
          <w:bCs w:val="1"/>
          <w:color w:val="auto"/>
        </w:rPr>
        <w:t>PURSUANT TO 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60" w:firstLine="666"/>
        <w:spacing w:after="0" w:line="303"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John Celebi, President and Chief Executive Officer of Sensei Biotherapeutics, Inc. (the “Company”), and Erin Colgan, Chief Financial Officer of the Company, each hereby certifies that, to the best of his or her knowledge:</w:t>
      </w:r>
    </w:p>
    <w:p>
      <w:pPr>
        <w:spacing w:after="0" w:line="140" w:lineRule="exact"/>
        <w:rPr>
          <w:sz w:val="20"/>
          <w:szCs w:val="20"/>
          <w:color w:val="auto"/>
        </w:rPr>
      </w:pPr>
    </w:p>
    <w:p>
      <w:pPr>
        <w:ind w:left="1020" w:right="140" w:hanging="503"/>
        <w:spacing w:after="0" w:line="291"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September 30, 2022, to which this Certification is attached as Exhibit 32.1 (the “Quarterly Report”), fully complies with the requirements of Section 13(a) or Section 15(d) of the Exchange Act; and</w:t>
      </w:r>
    </w:p>
    <w:p>
      <w:pPr>
        <w:spacing w:after="0" w:line="160" w:lineRule="exact"/>
        <w:rPr>
          <w:rFonts w:ascii="Arial" w:cs="Arial" w:eastAsia="Arial" w:hAnsi="Arial"/>
          <w:sz w:val="17"/>
          <w:szCs w:val="17"/>
          <w:color w:val="auto"/>
        </w:rPr>
      </w:pPr>
    </w:p>
    <w:p>
      <w:pPr>
        <w:ind w:left="1020" w:right="8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3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8th day of November 2022.</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Celebi</w:t>
            </w:r>
          </w:p>
        </w:tc>
        <w:tc>
          <w:tcPr>
            <w:tcW w:w="1220" w:type="dxa"/>
            <w:vAlign w:val="bottom"/>
          </w:tcPr>
          <w:p>
            <w:pPr>
              <w:spacing w:after="0"/>
              <w:rPr>
                <w:sz w:val="20"/>
                <w:szCs w:val="20"/>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Erin Colgan</w:t>
            </w:r>
          </w:p>
        </w:tc>
      </w:tr>
      <w:tr>
        <w:trPr>
          <w:trHeight w:val="195"/>
        </w:trPr>
        <w:tc>
          <w:tcPr>
            <w:tcW w:w="5020" w:type="dxa"/>
            <w:vAlign w:val="bottom"/>
          </w:tcPr>
          <w:p>
            <w:pPr>
              <w:ind w:left="20"/>
              <w:spacing w:after="0" w:line="195" w:lineRule="exact"/>
              <w:rPr>
                <w:sz w:val="20"/>
                <w:szCs w:val="20"/>
                <w:color w:val="auto"/>
              </w:rPr>
            </w:pPr>
            <w:r>
              <w:rPr>
                <w:rFonts w:ascii="Arial" w:cs="Arial" w:eastAsia="Arial" w:hAnsi="Arial"/>
                <w:sz w:val="18"/>
                <w:szCs w:val="18"/>
                <w:color w:val="auto"/>
              </w:rPr>
              <w:t>John Celebi</w:t>
            </w:r>
          </w:p>
        </w:tc>
        <w:tc>
          <w:tcPr>
            <w:tcW w:w="1220" w:type="dxa"/>
            <w:vAlign w:val="bottom"/>
          </w:tcPr>
          <w:p>
            <w:pPr>
              <w:spacing w:after="0"/>
              <w:rPr>
                <w:sz w:val="16"/>
                <w:szCs w:val="16"/>
                <w:color w:val="auto"/>
              </w:rPr>
            </w:pPr>
          </w:p>
        </w:tc>
        <w:tc>
          <w:tcPr>
            <w:tcW w:w="5000" w:type="dxa"/>
            <w:vAlign w:val="bottom"/>
          </w:tcPr>
          <w:p>
            <w:pPr>
              <w:ind w:left="20"/>
              <w:spacing w:after="0" w:line="195" w:lineRule="exact"/>
              <w:rPr>
                <w:sz w:val="20"/>
                <w:szCs w:val="20"/>
                <w:color w:val="auto"/>
              </w:rPr>
            </w:pPr>
            <w:r>
              <w:rPr>
                <w:rFonts w:ascii="Arial" w:cs="Arial" w:eastAsia="Arial" w:hAnsi="Arial"/>
                <w:sz w:val="18"/>
                <w:szCs w:val="18"/>
                <w:color w:val="auto"/>
              </w:rPr>
              <w:t>Erin Colgan</w:t>
            </w:r>
          </w:p>
        </w:tc>
      </w:tr>
      <w:tr>
        <w:trPr>
          <w:trHeight w:val="189"/>
        </w:trPr>
        <w:tc>
          <w:tcPr>
            <w:tcW w:w="5020" w:type="dxa"/>
            <w:vAlign w:val="bottom"/>
          </w:tcPr>
          <w:p>
            <w:pPr>
              <w:ind w:left="20"/>
              <w:spacing w:after="0" w:line="189" w:lineRule="exact"/>
              <w:rPr>
                <w:sz w:val="20"/>
                <w:szCs w:val="20"/>
                <w:color w:val="auto"/>
              </w:rPr>
            </w:pPr>
            <w:r>
              <w:rPr>
                <w:rFonts w:ascii="Arial" w:cs="Arial" w:eastAsia="Arial" w:hAnsi="Arial"/>
                <w:sz w:val="18"/>
                <w:szCs w:val="18"/>
                <w:color w:val="auto"/>
              </w:rPr>
              <w:t>President and Chief Executive Officer</w:t>
            </w:r>
          </w:p>
        </w:tc>
        <w:tc>
          <w:tcPr>
            <w:tcW w:w="1220" w:type="dxa"/>
            <w:vAlign w:val="bottom"/>
          </w:tcPr>
          <w:p>
            <w:pPr>
              <w:spacing w:after="0"/>
              <w:rPr>
                <w:sz w:val="16"/>
                <w:szCs w:val="16"/>
                <w:color w:val="auto"/>
              </w:rPr>
            </w:pPr>
          </w:p>
        </w:tc>
        <w:tc>
          <w:tcPr>
            <w:tcW w:w="5000" w:type="dxa"/>
            <w:vAlign w:val="bottom"/>
          </w:tcPr>
          <w:p>
            <w:pPr>
              <w:ind w:left="20"/>
              <w:spacing w:after="0" w:line="189" w:lineRule="exact"/>
              <w:rPr>
                <w:sz w:val="20"/>
                <w:szCs w:val="20"/>
                <w:color w:val="auto"/>
              </w:rPr>
            </w:pPr>
            <w:r>
              <w:rPr>
                <w:rFonts w:ascii="Arial" w:cs="Arial" w:eastAsia="Arial" w:hAnsi="Arial"/>
                <w:sz w:val="18"/>
                <w:szCs w:val="18"/>
                <w:color w:val="auto"/>
              </w:rPr>
              <w:t>Chief Financial Officer</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2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88" w:lineRule="exact"/>
        <w:rPr>
          <w:sz w:val="20"/>
          <w:szCs w:val="20"/>
          <w:color w:val="auto"/>
        </w:rPr>
      </w:pPr>
    </w:p>
    <w:p>
      <w:pPr>
        <w:ind w:right="40" w:firstLine="8"/>
        <w:spacing w:after="0" w:line="256" w:lineRule="auto"/>
        <w:tabs>
          <w:tab w:leader="none" w:pos="1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842"/>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lvl w:ilvl="1">
      <w:lvlJc w:val="left"/>
      <w:lvlText w:val="•"/>
      <w:numFmt w:val="bullet"/>
      <w:start w:val="1"/>
    </w:lvl>
  </w:abstractNum>
  <w:abstractNum w:abstractNumId="14">
    <w:nsid w:val="22221A70"/>
    <w:multiLevelType w:val="hybridMultilevel"/>
    <w:lvl w:ilvl="0">
      <w:lvlJc w:val="left"/>
      <w:lvlText w:val="•"/>
      <w:numFmt w:val="bullet"/>
      <w:start w:val="1"/>
    </w:lvl>
    <w:lvl w:ilvl="1">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3"/>
    </w:lvl>
  </w:abstractNum>
  <w:abstractNum w:abstractNumId="43">
    <w:nsid w:val="6DE91B18"/>
    <w:multiLevelType w:val="hybridMultilevel"/>
    <w:lvl w:ilvl="0">
      <w:lvlJc w:val="left"/>
      <w:lvlText w:val="%1"/>
      <w:numFmt w:val="decimal"/>
      <w:start w:val="101"/>
    </w:lvl>
  </w:abstractNum>
  <w:abstractNum w:abstractNumId="44">
    <w:nsid w:val="38437FDB"/>
    <w:multiLevelType w:val="hybridMultilevel"/>
    <w:lvl w:ilvl="0">
      <w:lvlJc w:val="left"/>
      <w:lvlText w:val="*"/>
      <w:numFmt w:val="bullet"/>
      <w:start w:val="1"/>
    </w:lvl>
    <w:lvl w:ilvl="1">
      <w:lvlJc w:val="left"/>
      <w:lvlText w:val="%2"/>
      <w:numFmt w:val="decimal"/>
      <w:start w:val="104"/>
    </w:lvl>
  </w:abstractNum>
  <w:abstractNum w:abstractNumId="45">
    <w:nsid w:val="7644A45C"/>
    <w:multiLevelType w:val="hybridMultilevel"/>
    <w:lvl w:ilvl="0">
      <w:lvlJc w:val="left"/>
      <w:lvlText w:val="**"/>
      <w:numFmt w:val="bullet"/>
      <w:start w:val="1"/>
    </w:lvl>
    <w:lvl w:ilvl="1">
      <w:lvlJc w:val="left"/>
      <w:lvlText w:val="%2"/>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66" Type="http://schemas.openxmlformats.org/officeDocument/2006/relationships/hyperlink" Target="https://www.sec.gov/Archives/edgar/data/1829802/000119312521037280/d95909dex31.htm" TargetMode="External"/><Relationship Id="rId267" Type="http://schemas.openxmlformats.org/officeDocument/2006/relationships/hyperlink" Target="https://www.sec.gov/Archives/edgar/data/1829802/000119312521037280/d9590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2022-11-08T16:23:06Z</dcterms:created>
  <dcterms:modified xsi:type="dcterms:W3CDTF">2022-11-08T16:23:06Z</dcterms:modified>
</cp:coreProperties>
</file>