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snse-proxy-2023_non-xbrl.htm"/>
      <w:bookmarkStart w:id="1" w:name="kssnseproxy2023_nonxbrl"/>
      <w:bookmarkEnd w:id="0"/>
      <w:bookmarkEnd w:id="1"/>
      <w:r>
        <w:rPr/>
        <w:t> </w:t>
      </w:r>
    </w:p>
    <w:p>
      <w:pPr>
        <w:pStyle w:val="TextBody"/>
        <w:bidi w:val="0"/>
        <w:spacing w:before="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bidi w:val="0"/>
        <w:spacing w:before="0" w:after="0"/>
        <w:jc w:val="center"/>
        <w:rPr>
          <w:rFonts w:ascii="Times New Roman;serif" w:hAnsi="Times New Roman;serif"/>
          <w:b/>
          <w:sz w:val="36"/>
        </w:rPr>
      </w:pPr>
      <w:r>
        <w:rPr>
          <w:rFonts w:ascii="Times New Roman;serif" w:hAnsi="Times New Roman;serif"/>
          <w:b/>
          <w:sz w:val="36"/>
        </w:rPr>
        <w:t>SCHEDULE 14A</w:t>
      </w:r>
    </w:p>
    <w:p>
      <w:pPr>
        <w:pStyle w:val="TextBody"/>
        <w:bidi w:val="0"/>
        <w:spacing w:before="0" w:after="0"/>
        <w:jc w:val="center"/>
        <w:rPr>
          <w:rFonts w:ascii="Times New Roman" w:hAnsi="Times New Roman"/>
          <w:sz w:val="20"/>
        </w:rPr>
      </w:pPr>
      <w:r>
        <w:rPr>
          <w:rFonts w:ascii="Times New Roman;serif" w:hAnsi="Times New Roman;serif"/>
          <w:b/>
          <w:sz w:val="24"/>
        </w:rPr>
        <w:t>Proxy Statement Pursuant to Section 14(a) of the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Securities Exchange Act of 1934</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Filed by the Registrant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Filed by a Party other than the Registrant </w:t>
      </w:r>
      <w:r>
        <w:rPr>
          <w:rFonts w:ascii="Times New Roman" w:hAnsi="Times New Roman"/>
          <w:sz w:val="20"/>
        </w:rPr>
        <w:t>☐</w:t>
      </w:r>
    </w:p>
    <w:p>
      <w:pPr>
        <w:pStyle w:val="TextBody"/>
        <w:bidi w:val="0"/>
        <w:spacing w:before="0" w:after="0"/>
        <w:jc w:val="left"/>
        <w:rPr>
          <w:rFonts w:ascii="Times New Roman" w:hAnsi="Times New Roman"/>
          <w:sz w:val="20"/>
        </w:rPr>
      </w:pPr>
      <w:r>
        <w:rPr>
          <w:rFonts w:ascii="Times New Roman;serif" w:hAnsi="Times New Roman;serif"/>
          <w:b w:val="false"/>
          <w:sz w:val="20"/>
        </w:rPr>
        <w:t>Check the appropriate box:</w:t>
      </w:r>
      <w:r>
        <w:rPr>
          <w:rFonts w:ascii="Times New Roman" w:hAnsi="Times New Roman"/>
          <w:sz w:val="20"/>
        </w:rPr>
        <w:t xml:space="preserve"> </w:t>
      </w:r>
    </w:p>
    <w:tbl>
      <w:tblPr>
        <w:tblW w:w="7101" w:type="dxa"/>
        <w:jc w:val="left"/>
        <w:tblInd w:w="0" w:type="dxa"/>
        <w:tblLayout w:type="fixed"/>
        <w:tblCellMar>
          <w:top w:w="28" w:type="dxa"/>
          <w:left w:w="28" w:type="dxa"/>
          <w:bottom w:w="28" w:type="dxa"/>
          <w:right w:w="28" w:type="dxa"/>
        </w:tblCellMar>
      </w:tblPr>
      <w:tblGrid>
        <w:gridCol w:w="331"/>
        <w:gridCol w:w="109"/>
        <w:gridCol w:w="6661"/>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70"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70"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70"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70"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Soliciting Material under § 240.14a-12</w:t>
            </w:r>
          </w:p>
        </w:tc>
      </w:tr>
    </w:tbl>
    <w:p>
      <w:pPr>
        <w:pStyle w:val="TextBody"/>
        <w:bidi w:val="0"/>
        <w:spacing w:before="0" w:after="0"/>
        <w:jc w:val="center"/>
        <w:rPr>
          <w:rFonts w:ascii="Times New Roman" w:hAnsi="Times New Roman"/>
          <w:sz w:val="20"/>
        </w:rPr>
      </w:pPr>
      <w:r>
        <w:rPr>
          <w:rFonts w:ascii="Times New Roman;serif" w:hAnsi="Times New Roman;serif"/>
          <w:b/>
          <w:sz w:val="44"/>
        </w:rPr>
        <w:t>Sensei Biotherapeutics,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(Name of Registrant as Specified In Its Charter)</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(Name of Person(s) Filing Proxy Statement if other than the Registrant)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Payment of Filing Fee (Check all boxes that apply):</w:t>
      </w:r>
      <w:r>
        <w:rPr>
          <w:rFonts w:ascii="Times New Roman" w:hAnsi="Times New Roman"/>
          <w:sz w:val="20"/>
        </w:rPr>
        <w:t xml:space="preserve"> </w:t>
      </w:r>
    </w:p>
    <w:tbl>
      <w:tblPr>
        <w:tblW w:w="8810" w:type="dxa"/>
        <w:jc w:val="left"/>
        <w:tblInd w:w="0" w:type="dxa"/>
        <w:tblLayout w:type="fixed"/>
        <w:tblCellMar>
          <w:top w:w="28" w:type="dxa"/>
          <w:left w:w="28" w:type="dxa"/>
          <w:bottom w:w="28" w:type="dxa"/>
          <w:right w:w="28" w:type="dxa"/>
        </w:tblCellMar>
      </w:tblPr>
      <w:tblGrid>
        <w:gridCol w:w="331"/>
        <w:gridCol w:w="109"/>
        <w:gridCol w:w="2450"/>
        <w:gridCol w:w="2450"/>
        <w:gridCol w:w="3470"/>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7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479" w:type="dxa"/>
            <w:gridSpan w:val="4"/>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370"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3257550" cy="1200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57550" cy="1200150"/>
                    </a:xfrm>
                    <a:prstGeom prst="rect">
                      <a:avLst/>
                    </a:prstGeom>
                  </pic:spPr>
                </pic:pic>
              </a:graphicData>
            </a:graphic>
          </wp:inline>
        </w:drawing>
      </w:r>
      <w:r>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SENSEI BIOTHERAPEUTICS, INC.</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1405 Research Boulevard, Suite 125</w:t>
      </w:r>
    </w:p>
    <w:p>
      <w:pPr>
        <w:pStyle w:val="TextBody"/>
        <w:bidi w:val="0"/>
        <w:spacing w:before="0" w:after="0"/>
        <w:jc w:val="center"/>
        <w:rPr>
          <w:rFonts w:ascii="Times New Roman;serif" w:hAnsi="Times New Roman;serif"/>
          <w:b/>
          <w:sz w:val="20"/>
        </w:rPr>
      </w:pPr>
      <w:r>
        <w:rPr>
          <w:rFonts w:ascii="Times New Roman;serif" w:hAnsi="Times New Roman;serif"/>
          <w:b/>
          <w:sz w:val="20"/>
        </w:rPr>
        <w:t>Rockville, Maryland 20850</w:t>
      </w:r>
    </w:p>
    <w:p>
      <w:pPr>
        <w:pStyle w:val="TextBody"/>
        <w:bidi w:val="0"/>
        <w:spacing w:before="0" w:after="0"/>
        <w:jc w:val="center"/>
        <w:rPr>
          <w:rFonts w:ascii="Times New Roman" w:hAnsi="Times New Roman"/>
          <w:sz w:val="20"/>
        </w:rPr>
      </w:pPr>
      <w:r>
        <w:rPr>
          <w:rFonts w:ascii="Times New Roman;serif" w:hAnsi="Times New Roman;serif"/>
          <w:b/>
          <w:sz w:val="20"/>
        </w:rPr>
        <w:t>NOTICE OF ANNUAL MEETING OF STOCKHOLDERS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To Be Held On July 10, 2023</w:t>
      </w:r>
    </w:p>
    <w:p>
      <w:pPr>
        <w:pStyle w:val="TextBody"/>
        <w:bidi w:val="0"/>
        <w:spacing w:before="0" w:after="0"/>
        <w:jc w:val="both"/>
        <w:rPr>
          <w:rFonts w:ascii="Times New Roman" w:hAnsi="Times New Roman"/>
          <w:sz w:val="20"/>
        </w:rPr>
      </w:pPr>
      <w:r>
        <w:rPr>
          <w:rFonts w:ascii="Times New Roman;serif" w:hAnsi="Times New Roman;serif"/>
          <w:b w:val="false"/>
          <w:sz w:val="20"/>
        </w:rPr>
        <w:t>Dear Stockholder:</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Annual Meeting of stockholders of Sensei Biotherapeutics, Inc. (the “Company”) will be held on Monday, July 10, 2023 at 11:00 a.m. Eastern Daylight Time (the “Annual Meeting”). To facilitate stockholder participation in the Annual Meeting, the Annual Meeting will be held through a live webcast at www.proxydocs.com/SNSE. You will not be able to attend the meeting in person. The meeting will be held for the following purposes: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161"/>
        <w:gridCol w:w="235"/>
        <w:gridCol w:w="9809"/>
      </w:tblGrid>
      <w:tr>
        <w:trPr/>
        <w:tc>
          <w:tcPr>
            <w:tcW w:w="16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0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9809"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 w:hAnsi="Times New Roman"/>
                <w:sz w:val="20"/>
              </w:rPr>
            </w:pPr>
            <w:r>
              <w:rPr>
                <w:rFonts w:ascii="Times New Roman;serif" w:hAnsi="Times New Roman;serif"/>
                <w:b w:val="false"/>
                <w:sz w:val="20"/>
              </w:rPr>
              <w:t>To elect the Board’s nominees, Bob Holmen, Kristian Humer and Deneen Vojta, to the Board of Directors to hold office until the 2026 Annual Meeting of Stockholders.</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9809"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 w:hAnsi="Times New Roman"/>
                <w:sz w:val="20"/>
              </w:rPr>
            </w:pPr>
            <w:r>
              <w:rPr>
                <w:rFonts w:ascii="Times New Roman;serif" w:hAnsi="Times New Roman;serif"/>
                <w:b w:val="false"/>
                <w:sz w:val="20"/>
              </w:rPr>
              <w:t>To ratify the selection by the Audit Committee of the Board of Directors of Deloitte &amp; Touche LLP as the Company’s independent registered public accounting firm for the year ending December 31, 2023.</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3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w:t>
            </w:r>
          </w:p>
        </w:tc>
        <w:tc>
          <w:tcPr>
            <w:tcW w:w="98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To conduct any other business properly brought before the meeting.</w:t>
            </w:r>
            <w:r>
              <w:rPr>
                <w:rFonts w:ascii="Times New Roman" w:hAnsi="Times New Roman"/>
                <w:sz w:val="20"/>
              </w:rPr>
              <w:t xml:space="preserve"> </w:t>
            </w:r>
          </w:p>
        </w:tc>
      </w:tr>
    </w:tbl>
    <w:p>
      <w:pPr>
        <w:pStyle w:val="TextBody"/>
        <w:bidi w:val="0"/>
        <w:spacing w:before="120" w:after="240"/>
        <w:jc w:val="both"/>
        <w:rPr>
          <w:rFonts w:ascii="Times New Roman" w:hAnsi="Times New Roman"/>
          <w:sz w:val="20"/>
        </w:rPr>
      </w:pPr>
      <w:r>
        <w:rPr>
          <w:rFonts w:ascii="Times New Roman;serif" w:hAnsi="Times New Roman;serif"/>
          <w:b w:val="false"/>
          <w:sz w:val="20"/>
        </w:rPr>
        <w:t>These items of business are more fully described in the Proxy Statement accompanying this Notice. This year's Annual Meeting will be held virtually through a live webcast. You will be able to attend the Annual Meeting, submit questions and vote during the live webcast by visiting www.proxydocs.com/SNSE and entering the Control Number included in your proxy card, voting instruction form, or in the instructions that you received via email. Please refer to the additional logistical details and recommendations in the accompanying proxy statement. You may log-in beginning at 10:45 a.m. Eastern Daylight Time, on Monday, July 10, 2023. The record date for the Annual Meeting is June 15, 2023. Only stockholders of record at the close of business on that date are entitled to notice of and to vote at the meeting or any adjournment thereof.</w:t>
      </w:r>
      <w:r>
        <w:rPr>
          <w:rFonts w:ascii="Times New Roman" w:hAnsi="Times New Roman"/>
          <w:sz w:val="20"/>
        </w:rPr>
        <w:t xml:space="preserve"> </w:t>
      </w:r>
    </w:p>
    <w:p>
      <w:pPr>
        <w:pStyle w:val="TextBody"/>
        <w:pBdr>
          <w:top w:val="single" w:sz="8" w:space="1" w:color="000000"/>
          <w:left w:val="single" w:sz="8" w:space="1" w:color="000000"/>
          <w:right w:val="single" w:sz="8" w:space="1" w:color="000000"/>
        </w:pBdr>
        <w:bidi w:val="0"/>
        <w:spacing w:before="0" w:after="0"/>
        <w:jc w:val="center"/>
        <w:rPr>
          <w:rFonts w:ascii="Times New Roman;serif" w:hAnsi="Times New Roman;serif"/>
          <w:b/>
          <w:sz w:val="20"/>
        </w:rPr>
      </w:pPr>
      <w:r>
        <w:rPr>
          <w:rFonts w:ascii="Times New Roman;serif" w:hAnsi="Times New Roman;serif"/>
          <w:b/>
          <w:sz w:val="20"/>
        </w:rPr>
        <w:t>Important Notice Regarding the Availability of Proxy Materials for the Stockholders’ Meeting to Be Held on July 10, 2023.</w:t>
      </w:r>
    </w:p>
    <w:p>
      <w:pPr>
        <w:pStyle w:val="TextBody"/>
        <w:pBdr>
          <w:left w:val="single" w:sz="8" w:space="1" w:color="000000"/>
          <w:bottom w:val="single" w:sz="8" w:space="1" w:color="000000"/>
          <w:right w:val="single" w:sz="8" w:space="1" w:color="000000"/>
        </w:pBdr>
        <w:bidi w:val="0"/>
        <w:spacing w:before="0" w:after="0"/>
        <w:jc w:val="center"/>
        <w:rPr>
          <w:rFonts w:ascii="Times New Roman;serif" w:hAnsi="Times New Roman;serif"/>
          <w:b w:val="false"/>
          <w:sz w:val="20"/>
        </w:rPr>
      </w:pPr>
      <w:r>
        <w:rPr>
          <w:rFonts w:ascii="Times New Roman;serif" w:hAnsi="Times New Roman;serif"/>
          <w:b w:val="false"/>
          <w:sz w:val="20"/>
        </w:rPr>
        <w:t>The proxy statement and annual report to stockholders are available at www.proxydocs.com/SNSE.</w:t>
      </w:r>
    </w:p>
    <w:p>
      <w:pPr>
        <w:pStyle w:val="TextBody"/>
        <w:bidi w:val="0"/>
        <w:spacing w:before="0" w:after="0"/>
        <w:jc w:val="both"/>
        <w:rPr>
          <w:rFonts w:ascii="Times New Roman" w:hAnsi="Times New Roman"/>
          <w:sz w:val="20"/>
        </w:rPr>
      </w:pPr>
      <w:r>
        <w:rPr>
          <w:rFonts w:ascii="Times New Roman;serif" w:hAnsi="Times New Roman;serif"/>
          <w:b w:val="false"/>
          <w:sz w:val="20"/>
        </w:rPr>
        <w:t>By Order of the Board of Directors,</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 Christopher W. Gerry</w:t>
      </w:r>
    </w:p>
    <w:p>
      <w:pPr>
        <w:pStyle w:val="TextBody"/>
        <w:bidi w:val="0"/>
        <w:spacing w:before="0" w:after="0"/>
        <w:jc w:val="left"/>
        <w:rPr>
          <w:rFonts w:ascii="Times New Roman" w:hAnsi="Times New Roman"/>
          <w:sz w:val="20"/>
        </w:rPr>
      </w:pPr>
      <w:r>
        <w:rPr>
          <w:rFonts w:ascii="Times New Roman;serif" w:hAnsi="Times New Roman;serif"/>
          <w:b/>
          <w:sz w:val="20"/>
        </w:rPr>
        <w:t>Christopher W. Gerry</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General Counsel and Secretary</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Rockville, Maryland</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June 15, 2023</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tcMar>
              <w:left w:w="58" w:type="dxa"/>
              <w:right w:w="58" w:type="dxa"/>
            </w:tcMar>
            <w:vAlign w:val="center"/>
          </w:tcPr>
          <w:p>
            <w:pPr>
              <w:pStyle w:val="TableContents"/>
              <w:bidi w:val="0"/>
              <w:spacing w:before="0" w:after="0"/>
              <w:ind w:left="0" w:right="0" w:hanging="0"/>
              <w:jc w:val="both"/>
              <w:rPr>
                <w:rFonts w:ascii="Times New Roman" w:hAnsi="Times New Roman"/>
                <w:sz w:val="18"/>
              </w:rPr>
            </w:pPr>
            <w:r>
              <w:rPr>
                <w:rFonts w:ascii="Arial;sans-serif" w:hAnsi="Arial;sans-serif"/>
                <w:b/>
                <w:sz w:val="18"/>
              </w:rPr>
              <w:t xml:space="preserve">Whether or not you expect to attend the virtual Annual Meeting, please submit voting instructions for your shares promptly using the directions on your proxy card to vote by one of the following methods: (1) over the Internet before the Annual Meeting at </w:t>
            </w:r>
            <w:r>
              <w:rPr>
                <w:rFonts w:ascii="Arial;sans-serif" w:hAnsi="Arial;sans-serif"/>
                <w:b/>
                <w:sz w:val="18"/>
                <w:u w:val="single"/>
              </w:rPr>
              <w:t>www.proxypush.com/SNSE</w:t>
            </w:r>
            <w:r>
              <w:rPr>
                <w:rFonts w:ascii="Times New Roman" w:hAnsi="Times New Roman"/>
                <w:sz w:val="18"/>
              </w:rPr>
              <w:t> </w:t>
            </w:r>
            <w:r>
              <w:rPr>
                <w:rFonts w:ascii="Arial;sans-serif" w:hAnsi="Arial;sans-serif"/>
                <w:b/>
                <w:sz w:val="18"/>
              </w:rPr>
              <w:t xml:space="preserve">and during the Annual Meeting at </w:t>
            </w:r>
            <w:r>
              <w:rPr>
                <w:rFonts w:ascii="Arial;sans-serif" w:hAnsi="Arial;sans-serif"/>
                <w:b/>
                <w:sz w:val="18"/>
                <w:u w:val="single"/>
              </w:rPr>
              <w:t>www.proxydocs.com/SNSE</w:t>
            </w:r>
            <w:r>
              <w:rPr>
                <w:rFonts w:ascii="Arial;sans-serif" w:hAnsi="Arial;sans-serif"/>
                <w:b/>
                <w:sz w:val="18"/>
              </w:rPr>
              <w:t>, (2) by telephone by calling the toll-free number (866) 284-5317, or (3) by marking, dating, and signing your proxy card and returning it in the accompanying postage-paid envelope. Even if you have voted by proxy, you may still vote online if you attend the virtual Annual Meeting. Please note, however, that if your shares are held of record by a broker, bank, or other nominee and you wish to vote online at the Annual Meeting, you must obtain a proxy issued in your name from that record holder.</w:t>
            </w:r>
          </w:p>
        </w:tc>
      </w:tr>
    </w:tbl>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i/>
          <w:sz w:val="20"/>
        </w:rPr>
      </w:pPr>
      <w:r>
        <w:rPr>
          <w:rFonts w:ascii="Times New Roman;serif" w:hAnsi="Times New Roman;serif"/>
          <w:b/>
          <w:i/>
          <w:sz w:val="20"/>
        </w:rPr>
        <w:t>Table of Contents</w:t>
      </w:r>
    </w:p>
    <w:tbl>
      <w:tblPr>
        <w:tblW w:w="9977" w:type="dxa"/>
        <w:jc w:val="left"/>
        <w:tblInd w:w="0" w:type="dxa"/>
        <w:tblLayout w:type="fixed"/>
        <w:tblCellMar>
          <w:top w:w="28" w:type="dxa"/>
          <w:left w:w="28" w:type="dxa"/>
          <w:bottom w:w="28" w:type="dxa"/>
          <w:right w:w="28" w:type="dxa"/>
        </w:tblCellMar>
      </w:tblPr>
      <w:tblGrid>
        <w:gridCol w:w="9466"/>
        <w:gridCol w:w="511"/>
      </w:tblGrid>
      <w:tr>
        <w:trPr/>
        <w:tc>
          <w:tcPr>
            <w:tcW w:w="94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4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4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PROXY STATEMENT:</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94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roxy_q_a">
              <w:r>
                <w:rPr>
                  <w:rStyle w:val="InternetLink"/>
                  <w:rFonts w:ascii="Times New Roman;serif" w:hAnsi="Times New Roman;serif"/>
                  <w:b w:val="false"/>
                  <w:sz w:val="20"/>
                  <w:u w:val="single"/>
                </w:rPr>
                <w:t>QUESTIONS AND ANSWERS ABOUT THESE PROXY MATERIALS AND VOTING</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94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roposal1">
              <w:r>
                <w:rPr>
                  <w:rStyle w:val="InternetLink"/>
                  <w:rFonts w:ascii="Times New Roman;serif" w:hAnsi="Times New Roman;serif"/>
                  <w:b w:val="false"/>
                  <w:sz w:val="20"/>
                  <w:u w:val="single"/>
                </w:rPr>
                <w:t>PROPOSAL 1-ELECTION OF DIRECTORS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94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roposal2">
              <w:r>
                <w:rPr>
                  <w:rStyle w:val="InternetLink"/>
                  <w:rFonts w:ascii="Times New Roman;serif" w:hAnsi="Times New Roman;serif"/>
                  <w:b w:val="false"/>
                  <w:sz w:val="20"/>
                  <w:u w:val="single"/>
                </w:rPr>
                <w:t>PROPOSAL 2-RATIFICATION OF SELECTION OF INDEPENDENT REGISTERED PUBLIC ACCOUNTING FIRM</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r>
      <w:tr>
        <w:trPr/>
        <w:tc>
          <w:tcPr>
            <w:tcW w:w="94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exec_officers">
              <w:r>
                <w:rPr>
                  <w:rStyle w:val="InternetLink"/>
                  <w:rFonts w:ascii="Times New Roman;serif" w:hAnsi="Times New Roman;serif"/>
                  <w:b w:val="false"/>
                  <w:sz w:val="20"/>
                  <w:u w:val="single"/>
                </w:rPr>
                <w:t>EXECUTIVE OFFICERS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r>
      <w:tr>
        <w:trPr/>
        <w:tc>
          <w:tcPr>
            <w:tcW w:w="94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ec_ben_own">
              <w:r>
                <w:rPr>
                  <w:rStyle w:val="InternetLink"/>
                  <w:rFonts w:ascii="Times New Roman;serif" w:hAnsi="Times New Roman;serif"/>
                  <w:b w:val="false"/>
                  <w:sz w:val="20"/>
                  <w:u w:val="single"/>
                </w:rPr>
                <w:t>SECURITY OWNERSHIP OF CERTAIN BENEFICIAL OWNERS AND MANAGEMENT</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94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elinq16a">
              <w:r>
                <w:rPr>
                  <w:rStyle w:val="InternetLink"/>
                  <w:rFonts w:ascii="Times New Roman;serif" w:hAnsi="Times New Roman;serif"/>
                  <w:b w:val="false"/>
                  <w:sz w:val="20"/>
                  <w:u w:val="single"/>
                </w:rPr>
                <w:t>DELINQUENT SECTION 16(A) REPORTS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94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exec_comp">
              <w:r>
                <w:rPr>
                  <w:rStyle w:val="InternetLink"/>
                  <w:rFonts w:ascii="Times New Roman;serif" w:hAnsi="Times New Roman;serif"/>
                  <w:b w:val="false"/>
                  <w:sz w:val="20"/>
                  <w:u w:val="single"/>
                </w:rPr>
                <w:t>EXECUTIVE COMPENSATION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94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ir_comp">
              <w:r>
                <w:rPr>
                  <w:rStyle w:val="InternetLink"/>
                  <w:rFonts w:ascii="Times New Roman;serif" w:hAnsi="Times New Roman;serif"/>
                  <w:b w:val="false"/>
                  <w:sz w:val="20"/>
                  <w:u w:val="single"/>
                </w:rPr>
                <w:t>DIRECTOR COMPENSATION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94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eqty_comp">
              <w:r>
                <w:rPr>
                  <w:rStyle w:val="InternetLink"/>
                  <w:rFonts w:ascii="Times New Roman;serif" w:hAnsi="Times New Roman;serif"/>
                  <w:b w:val="false"/>
                  <w:sz w:val="20"/>
                  <w:u w:val="single"/>
                </w:rPr>
                <w:t>SECURITIES AUTHORIZED FOR ISSUANCE UNDER EQUITY COMPENSATION PLANS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94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ltd_party">
              <w:r>
                <w:rPr>
                  <w:rStyle w:val="InternetLink"/>
                  <w:rFonts w:ascii="Times New Roman;serif" w:hAnsi="Times New Roman;serif"/>
                  <w:b w:val="false"/>
                  <w:sz w:val="20"/>
                  <w:u w:val="single"/>
                </w:rPr>
                <w:t>TRANSACTIONS WITH RELATED PERSONS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94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householding">
              <w:r>
                <w:rPr>
                  <w:rStyle w:val="InternetLink"/>
                  <w:rFonts w:ascii="Times New Roman;serif" w:hAnsi="Times New Roman;serif"/>
                  <w:b w:val="false"/>
                  <w:sz w:val="20"/>
                  <w:u w:val="single"/>
                </w:rPr>
                <w:t>HOUSEHOLDING OF PROXY MATERIALS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94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othermatters">
              <w:r>
                <w:rPr>
                  <w:rStyle w:val="InternetLink"/>
                  <w:rFonts w:ascii="Times New Roman;serif" w:hAnsi="Times New Roman;serif"/>
                  <w:b w:val="false"/>
                  <w:sz w:val="20"/>
                  <w:u w:val="single"/>
                </w:rPr>
                <w:t>OTHER MATTERS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bl>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center"/>
        <w:rPr>
          <w:rFonts w:ascii="Times New Roman;serif" w:hAnsi="Times New Roman;serif"/>
          <w:b w:val="false"/>
          <w:sz w:val="22"/>
        </w:rPr>
      </w:pPr>
      <w:bookmarkStart w:id="2" w:name="proxy_q_a"/>
      <w:bookmarkEnd w:id="2"/>
      <w:r>
        <w:rPr>
          <w:rFonts w:ascii="Times New Roman;serif" w:hAnsi="Times New Roman;serif"/>
          <w:b w:val="false"/>
          <w:sz w:val="22"/>
        </w:rPr>
        <w:t>SENSEI BIOTHERAPEUTICS, INC.</w:t>
      </w:r>
    </w:p>
    <w:p>
      <w:pPr>
        <w:pStyle w:val="TextBody"/>
        <w:bidi w:val="0"/>
        <w:spacing w:before="120" w:after="120"/>
        <w:jc w:val="center"/>
        <w:rPr>
          <w:rFonts w:ascii="Times New Roman" w:hAnsi="Times New Roman"/>
          <w:sz w:val="20"/>
        </w:rPr>
      </w:pPr>
      <w:r>
        <w:rPr>
          <w:rFonts w:ascii="Times New Roman;serif" w:hAnsi="Times New Roman;serif"/>
          <w:b/>
          <w:sz w:val="20"/>
        </w:rPr>
        <w:t>1405 Research Boulevard, Suite 125</w:t>
      </w:r>
      <w:r>
        <w:rPr>
          <w:rFonts w:ascii="Times New Roman" w:hAnsi="Times New Roman"/>
          <w:sz w:val="20"/>
        </w:rPr>
        <w:t xml:space="preserve"> </w:t>
      </w:r>
    </w:p>
    <w:p>
      <w:pPr>
        <w:pStyle w:val="TextBody"/>
        <w:bidi w:val="0"/>
        <w:spacing w:before="120" w:after="120"/>
        <w:jc w:val="center"/>
        <w:rPr>
          <w:rFonts w:ascii="Times New Roman" w:hAnsi="Times New Roman"/>
          <w:sz w:val="20"/>
        </w:rPr>
      </w:pPr>
      <w:r>
        <w:rPr>
          <w:rFonts w:ascii="Times New Roman;serif" w:hAnsi="Times New Roman;serif"/>
          <w:b/>
          <w:sz w:val="20"/>
        </w:rPr>
        <w:t>Rockville, Maryland 28510</w:t>
      </w:r>
      <w:r>
        <w:rPr>
          <w:rFonts w:ascii="Times New Roman" w:hAnsi="Times New Roman"/>
          <w:sz w:val="20"/>
        </w:rPr>
        <w:t xml:space="preserve"> </w:t>
      </w:r>
    </w:p>
    <w:p>
      <w:pPr>
        <w:pStyle w:val="TextBody"/>
        <w:bidi w:val="0"/>
        <w:spacing w:before="120" w:after="120"/>
        <w:jc w:val="center"/>
        <w:rPr>
          <w:rFonts w:ascii="Times New Roman" w:hAnsi="Times New Roman"/>
          <w:sz w:val="20"/>
        </w:rPr>
      </w:pPr>
      <w:r>
        <w:rPr>
          <w:rFonts w:ascii="Times New Roman;serif" w:hAnsi="Times New Roman;serif"/>
          <w:b/>
          <w:sz w:val="20"/>
        </w:rPr>
        <w:t>PROXY STATEMENT</w:t>
      </w:r>
      <w:r>
        <w:rPr>
          <w:rFonts w:ascii="Times New Roman" w:hAnsi="Times New Roman"/>
          <w:sz w:val="20"/>
        </w:rPr>
        <w:t xml:space="preserve"> </w:t>
      </w:r>
    </w:p>
    <w:p>
      <w:pPr>
        <w:pStyle w:val="TextBody"/>
        <w:bidi w:val="0"/>
        <w:spacing w:before="120" w:after="120"/>
        <w:jc w:val="center"/>
        <w:rPr>
          <w:rFonts w:ascii="Times New Roman" w:hAnsi="Times New Roman"/>
          <w:sz w:val="20"/>
        </w:rPr>
      </w:pPr>
      <w:r>
        <w:rPr>
          <w:rFonts w:ascii="Times New Roman;serif" w:hAnsi="Times New Roman;serif"/>
          <w:b/>
          <w:sz w:val="20"/>
        </w:rPr>
        <w:t>FOR THE 2023 ANNUAL MEETING OF STOCKHOLDERS</w:t>
      </w:r>
      <w:r>
        <w:rPr>
          <w:rFonts w:ascii="Times New Roman" w:hAnsi="Times New Roman"/>
          <w:sz w:val="20"/>
        </w:rPr>
        <w:t xml:space="preserve"> </w:t>
      </w:r>
    </w:p>
    <w:p>
      <w:pPr>
        <w:pStyle w:val="TextBody"/>
        <w:bidi w:val="0"/>
        <w:spacing w:before="120" w:after="120"/>
        <w:jc w:val="center"/>
        <w:rPr>
          <w:rFonts w:ascii="Times New Roman;serif" w:hAnsi="Times New Roman;serif"/>
          <w:b/>
          <w:sz w:val="20"/>
        </w:rPr>
      </w:pPr>
      <w:r>
        <w:rPr>
          <w:rFonts w:ascii="Times New Roman;serif" w:hAnsi="Times New Roman;serif"/>
          <w:b/>
          <w:sz w:val="20"/>
        </w:rPr>
        <w:t>To Be Held on July 10, 2023</w:t>
      </w:r>
    </w:p>
    <w:p>
      <w:pPr>
        <w:pStyle w:val="TextBody"/>
        <w:bidi w:val="0"/>
        <w:spacing w:before="120" w:after="120"/>
        <w:jc w:val="center"/>
        <w:rPr>
          <w:rFonts w:ascii="Times New Roman" w:hAnsi="Times New Roman"/>
          <w:sz w:val="20"/>
        </w:rPr>
      </w:pPr>
      <w:r>
        <w:rPr>
          <w:rFonts w:ascii="Times New Roman;serif" w:hAnsi="Times New Roman;serif"/>
          <w:b/>
          <w:sz w:val="20"/>
        </w:rPr>
        <w:t>QUESTIONS AND ANSWERS ABOUT THESE PROXY MATERIALS AND VOTING</w:t>
      </w:r>
      <w:r>
        <w:rPr>
          <w:rFonts w:ascii="Times New Roman" w:hAnsi="Times New Roman"/>
          <w:sz w:val="20"/>
        </w:rPr>
        <w:t xml:space="preserve"> </w:t>
      </w:r>
    </w:p>
    <w:p>
      <w:pPr>
        <w:pStyle w:val="TextBody"/>
        <w:bidi w:val="0"/>
        <w:spacing w:before="240" w:after="120"/>
        <w:jc w:val="both"/>
        <w:rPr>
          <w:rFonts w:ascii="Times New Roman" w:hAnsi="Times New Roman"/>
          <w:sz w:val="20"/>
        </w:rPr>
      </w:pPr>
      <w:r>
        <w:rPr>
          <w:rFonts w:ascii="Times New Roman;serif" w:hAnsi="Times New Roman;serif"/>
          <w:b/>
          <w:sz w:val="20"/>
        </w:rPr>
        <w:t>Why am I receiving these materials?</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We have sent you these proxy materials because the Board of Directors of Sensei Biotherapeutics, Inc. (the “Board of Directors”) is soliciting your proxy to vote at the 2023 Annual Meeting of Stockholders, including at any adjournments or postponements of the meeting. You are invited to attend the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 We intend to mail these proxy materials on or about June 15, 2023 to all stockholders of record entitled to vote at the Annual Meeting.</w:t>
      </w:r>
    </w:p>
    <w:p>
      <w:pPr>
        <w:pStyle w:val="TextBody"/>
        <w:bidi w:val="0"/>
        <w:spacing w:before="360" w:after="120"/>
        <w:jc w:val="both"/>
        <w:rPr>
          <w:rFonts w:ascii="Times New Roman" w:hAnsi="Times New Roman"/>
          <w:sz w:val="20"/>
        </w:rPr>
      </w:pPr>
      <w:r>
        <w:rPr>
          <w:rFonts w:ascii="Times New Roman;serif" w:hAnsi="Times New Roman;serif"/>
          <w:b/>
          <w:sz w:val="20"/>
        </w:rPr>
        <w:t>How do I attend the Annual Meeting?</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To facilitate stockholder participation in the Annual Meeting, this year the Annual Meeting will be held through a live webcast at www.proxydocs.com/SNSE. You will not be able to attend the Annual Meeting in person. If you attend the Annual Meeting online, you will be able to vote and submit questions at www.proxydocs.com/SNSE.</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You are entitled to attend the Annual Meeting if you were a stockholder as of the close of business on June 15, 2023, the record date, or hold a valid proxy for the meeting. To be admitted to the Annual Meeting, you will need to visit www.proxydocs.com/SNSE and enter the Control Number found next to the label “Control Number” on your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 proxy to vote.</w:t>
      </w:r>
    </w:p>
    <w:p>
      <w:pPr>
        <w:pStyle w:val="TextBody"/>
        <w:bidi w:val="0"/>
        <w:spacing w:before="120" w:after="120"/>
        <w:jc w:val="both"/>
        <w:rPr>
          <w:rFonts w:ascii="Times New Roman" w:hAnsi="Times New Roman"/>
          <w:sz w:val="20"/>
        </w:rPr>
      </w:pPr>
      <w:r>
        <w:rPr>
          <w:rFonts w:ascii="Times New Roman;serif" w:hAnsi="Times New Roman;serif"/>
          <w:b w:val="false"/>
          <w:sz w:val="20"/>
        </w:rPr>
        <w:t>Whether or not you participate in the Annual Meeting, it is important that you vote your shares.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We encourage you to access the Annual Meeting before it begins. Online check-in will start approximately 15 minutes before the meeting on July 10, 2023.</w:t>
      </w:r>
    </w:p>
    <w:p>
      <w:pPr>
        <w:pStyle w:val="TextBody"/>
        <w:bidi w:val="0"/>
        <w:spacing w:before="360" w:after="120"/>
        <w:jc w:val="both"/>
        <w:rPr>
          <w:rFonts w:ascii="Times New Roman" w:hAnsi="Times New Roman"/>
          <w:sz w:val="20"/>
        </w:rPr>
      </w:pPr>
      <w:r>
        <w:rPr>
          <w:rFonts w:ascii="Times New Roman;serif" w:hAnsi="Times New Roman;serif"/>
          <w:b/>
          <w:sz w:val="20"/>
        </w:rPr>
        <w:t>What if I cannot find my Control Number?</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We will have access to a list of control numbers for registered stockholders in the event of a lost number. You may also consult your Mediant Relationship Manager for assistance. Typically, “guest” access is not permitted. Please consult with your Mediant Relationship Manager if you would like to permit guest access.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If you are a beneficial owner (that is, you hold your shares in an account at a bank, broker or other holder of record), you will need to contact that bank, broker or other holder of record to obtain your Control Number prior to the Annual Meeting.</w:t>
      </w:r>
    </w:p>
    <w:p>
      <w:pPr>
        <w:pStyle w:val="TextBody"/>
        <w:bidi w:val="0"/>
        <w:spacing w:before="360" w:after="120"/>
        <w:jc w:val="both"/>
        <w:rPr>
          <w:rFonts w:ascii="Times New Roman" w:hAnsi="Times New Roman"/>
          <w:sz w:val="20"/>
        </w:rPr>
      </w:pPr>
      <w:r>
        <w:rPr>
          <w:rFonts w:ascii="Times New Roman;serif" w:hAnsi="Times New Roman;serif"/>
          <w:b/>
          <w:sz w:val="20"/>
        </w:rPr>
        <w:t>Will a list of record stockholders as of the record date be available?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A list of our record stockholders as of the close of business on the record date will be available for inspection at our corporate office for the 10 days ending on the day before the Annual Meeting. If you want to inspect the stockholder list, call our office at (484) 324-7933 to speak with our Investor Relations department to schedule an appointment.</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Where can we get technical assistance?</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 The technical support number will not be posted publicly; it will be provided to meeting attendees via e-mail one hour prior to the meeting start time.</w:t>
      </w:r>
    </w:p>
    <w:p>
      <w:pPr>
        <w:pStyle w:val="TextBody"/>
        <w:bidi w:val="0"/>
        <w:spacing w:before="360" w:after="120"/>
        <w:jc w:val="both"/>
        <w:rPr>
          <w:rFonts w:ascii="Times New Roman" w:hAnsi="Times New Roman"/>
          <w:sz w:val="20"/>
        </w:rPr>
      </w:pPr>
      <w:r>
        <w:rPr>
          <w:rFonts w:ascii="Times New Roman;serif" w:hAnsi="Times New Roman;serif"/>
          <w:b/>
          <w:sz w:val="20"/>
        </w:rPr>
        <w:t>For the Annual Meeting, how do we ask questions of management and the board?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Stockholders may submit questions that are relevant to our business in advance of the Annual Meeting. If you are a stockholder, you may submit a question in advance of the meeting at www/proxydocs.com/SNSE after logging in with your Control Number. We do not intend to post questions or answers to stockholder questions received during the Annual Meeting on our website.</w:t>
      </w:r>
    </w:p>
    <w:p>
      <w:pPr>
        <w:pStyle w:val="TextBody"/>
        <w:bidi w:val="0"/>
        <w:spacing w:before="360" w:after="120"/>
        <w:jc w:val="both"/>
        <w:rPr>
          <w:rFonts w:ascii="Times New Roman" w:hAnsi="Times New Roman"/>
          <w:sz w:val="20"/>
        </w:rPr>
      </w:pPr>
      <w:r>
        <w:rPr>
          <w:rFonts w:ascii="Times New Roman;serif" w:hAnsi="Times New Roman;serif"/>
          <w:b/>
          <w:sz w:val="20"/>
        </w:rPr>
        <w:t>Who can vote at the Annual Meeting?</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Only stockholders of record at the close of business on June 15, 2023 will be entitled to vote at the Annual Meeting. On this record date, there were 26,561,712 shares of common stock outstanding and entitled to vote.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i/>
          <w:sz w:val="20"/>
        </w:rPr>
        <w:t>Stockholder of Record: Shares Registered in Your Name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If on June 15, 2023 your shares were registered directly in your name with our transfer agent, American Stock Transfer &amp; Trust Company, LLC, then you are a stockholder of record. As a stockholder of record, you may vote virtually at the meeting or vote by proxy. Whether or not you plan to attend the meeting, we urge you to fill out and return the enclosed proxy card or vote by proxy over the telephone or on the internet as instructed below to ensure your vote is counted.</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i/>
          <w:sz w:val="20"/>
        </w:rPr>
        <w:t>Beneficial Owner: Shares Registered in the Name of a Broker or Bank</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If on June 15, 2023 your shares were held, not in your name, but rather in an account at a brokerage firm, bank, dealer or other similar organization, then you are the beneficial owner of shares held in “street name” and these proxy materials are</w:t>
      </w:r>
      <w:r>
        <w:rPr>
          <w:rFonts w:ascii="Times New Roman" w:hAnsi="Times New Roman"/>
          <w:sz w:val="20"/>
        </w:rPr>
        <w:t xml:space="preserve"> </w:t>
      </w:r>
      <w:r>
        <w:rPr>
          <w:rFonts w:ascii="Times New Roman;serif" w:hAnsi="Times New Roman;serif"/>
          <w:b w:val="false"/>
          <w:sz w:val="20"/>
        </w:rPr>
        <w:t>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virtually at the meeting unless you request and obtain a valid legal proxy from your broker or other agent.</w:t>
      </w:r>
      <w:r>
        <w:rPr>
          <w:rFonts w:ascii="Times New Roman" w:hAnsi="Times New Roman"/>
          <w:sz w:val="20"/>
        </w:rPr>
        <w:t xml:space="preserve"> </w:t>
      </w:r>
    </w:p>
    <w:p>
      <w:pPr>
        <w:pStyle w:val="TextBody"/>
        <w:bidi w:val="0"/>
        <w:spacing w:before="360" w:after="120"/>
        <w:jc w:val="left"/>
        <w:rPr>
          <w:rFonts w:ascii="Times New Roman" w:hAnsi="Times New Roman"/>
          <w:sz w:val="20"/>
        </w:rPr>
      </w:pPr>
      <w:r>
        <w:rPr>
          <w:rFonts w:ascii="Times New Roman;serif" w:hAnsi="Times New Roman;serif"/>
          <w:b/>
          <w:sz w:val="20"/>
        </w:rPr>
        <w:t>What am I voting on?</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sz w:val="20"/>
        </w:rPr>
        <w:t>There are two matters scheduled for a vote:</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161"/>
        <w:gridCol w:w="256"/>
        <w:gridCol w:w="146"/>
        <w:gridCol w:w="9642"/>
      </w:tblGrid>
      <w:tr>
        <w:trPr/>
        <w:tc>
          <w:tcPr>
            <w:tcW w:w="1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256" w:type="dxa"/>
            <w:tcBorders/>
            <w:tcMar>
              <w:top w:w="0" w:type="dxa"/>
              <w:left w:w="0" w:type="dxa"/>
              <w:bottom w:w="0" w:type="dxa"/>
              <w:right w:w="0" w:type="dxa"/>
            </w:tcMar>
            <w:vAlign w:val="center"/>
          </w:tcPr>
          <w:p>
            <w:pPr>
              <w:pStyle w:val="TableContents"/>
              <w:bidi w:val="0"/>
              <w:spacing w:before="120" w:after="12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9642"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u w:val="single"/>
              </w:rPr>
              <w:t>Proposal No. 1</w:t>
            </w:r>
            <w:r>
              <w:rPr>
                <w:rFonts w:ascii="Times New Roman" w:hAnsi="Times New Roman"/>
                <w:sz w:val="20"/>
              </w:rPr>
              <w:t xml:space="preserve"> – </w:t>
            </w:r>
            <w:r>
              <w:rPr>
                <w:rFonts w:ascii="Times New Roman;serif" w:hAnsi="Times New Roman;serif"/>
                <w:b w:val="false"/>
                <w:sz w:val="20"/>
              </w:rPr>
              <w:t>Election of three directors; and</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120" w:after="12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642"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u w:val="single"/>
              </w:rPr>
              <w:t>Proposal No. 2</w:t>
            </w:r>
            <w:r>
              <w:rPr>
                <w:rFonts w:ascii="Times New Roman" w:hAnsi="Times New Roman"/>
                <w:sz w:val="20"/>
              </w:rPr>
              <w:t xml:space="preserve"> – </w:t>
            </w:r>
            <w:r>
              <w:rPr>
                <w:rFonts w:ascii="Times New Roman;serif" w:hAnsi="Times New Roman;serif"/>
                <w:b w:val="false"/>
                <w:sz w:val="20"/>
              </w:rPr>
              <w:t>Ratification of selection by the Audit Committee of the Board of Directors of Deloitte &amp; Touche LLP as the independent registered public accounting firm of the Company for the year ending December 31, 2023.</w:t>
            </w:r>
            <w:r>
              <w:rPr>
                <w:rFonts w:ascii="Times New Roman" w:hAnsi="Times New Roman"/>
                <w:sz w:val="20"/>
              </w:rPr>
              <w:t xml:space="preserve"> </w:t>
            </w:r>
          </w:p>
        </w:tc>
      </w:tr>
    </w:tbl>
    <w:p>
      <w:pPr>
        <w:pStyle w:val="TextBody"/>
        <w:bidi w:val="0"/>
        <w:spacing w:before="360" w:after="120"/>
        <w:jc w:val="both"/>
        <w:rPr>
          <w:rFonts w:ascii="Times New Roman" w:hAnsi="Times New Roman"/>
          <w:sz w:val="20"/>
        </w:rPr>
      </w:pPr>
      <w:r>
        <w:rPr>
          <w:rFonts w:ascii="Times New Roman;serif" w:hAnsi="Times New Roman;serif"/>
          <w:b/>
          <w:sz w:val="20"/>
        </w:rPr>
        <w:t>What if another matter is properly brought before the meeting?</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How do I vote?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You may either vote “For” all of the nominees to the Board of Directors or you may “Withhold” your vote for any nominee you specify. For the other matter to be voted on, you may vote “For” or “Against” or abstain from voting.</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procedures for voting are: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i/>
          <w:sz w:val="20"/>
        </w:rPr>
        <w:t>Stockholder of Record: Shares Registered in Your Name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If you are a stockholder of record, you may vote virtually at the Annual Meeting or vote by proxy in one of three ways: online, by telephone or using the enclosed proxy card. Whether or not you plan to attend the meeting, we urge you to vote by proxy to ensure your vote is counted. You may still attend the Annual Meeting and vote virtually even if you have already voted by proxy.</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To vote during the Annual Meeting, if you are a stockholder of record as of the record date, follow the instructions provided via e-mail after registering at www.proxydocs.com/SNSE. You will need to enter the Control Number found in your proxy card.</w:t>
      </w:r>
    </w:p>
    <w:p>
      <w:pPr>
        <w:pStyle w:val="TextBody"/>
        <w:bidi w:val="0"/>
        <w:spacing w:before="120" w:after="120"/>
        <w:jc w:val="both"/>
        <w:rPr>
          <w:rFonts w:ascii="Times New Roman" w:hAnsi="Times New Roman"/>
          <w:sz w:val="20"/>
        </w:rPr>
      </w:pPr>
      <w:r>
        <w:rPr>
          <w:rFonts w:ascii="Times New Roman;serif" w:hAnsi="Times New Roman;serif"/>
          <w:b w:val="false"/>
          <w:sz w:val="20"/>
        </w:rPr>
        <w:t>To vote prior to the Annual Meeting you may vote via the Internet at www.proxypush.com/SNSE; by telephone; or by completing and returning the enclosed proxy card or voting instruction form, as described below.</w:t>
        <w:br/>
      </w:r>
      <w:r>
        <w:rPr>
          <w:rFonts w:ascii="Times New Roman" w:hAnsi="Times New Roman"/>
          <w:sz w:val="2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To vote online, go to www.proxypush.com/SNSE. You will be asked to provide the Company number and control number found in the enclosed proxy card. Your vote must be received to be counted.</w:t>
            </w:r>
            <w:r>
              <w:rPr>
                <w:rFonts w:ascii="Times New Roman" w:hAnsi="Times New Roman"/>
                <w:sz w:val="20"/>
              </w:rPr>
              <w:t xml:space="preserve"> </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To vote over the telephone, dial toll-free (866) 284-5317. You will be asked to provide the control number found in the enclosed proxy card. Your vote must be received to be counted.</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To vote by mail you can vote by promptly completing and returning your signed proxy card in the envelope provided. You should mail your signed proxy card sufficiently in advance for it to be received by July 10, 2023.</w:t>
            </w:r>
            <w:r>
              <w:rPr>
                <w:rFonts w:ascii="Times New Roman" w:hAnsi="Times New Roman"/>
                <w:sz w:val="20"/>
              </w:rPr>
              <w:t xml:space="preserve"> </w:t>
            </w:r>
          </w:p>
        </w:tc>
      </w:tr>
    </w:tbl>
    <w:p>
      <w:pPr>
        <w:pStyle w:val="TextBody"/>
        <w:bidi w:val="0"/>
        <w:spacing w:before="120" w:after="120"/>
        <w:jc w:val="both"/>
        <w:rPr>
          <w:rFonts w:ascii="Times New Roman" w:hAnsi="Times New Roman"/>
          <w:sz w:val="20"/>
        </w:rPr>
      </w:pPr>
      <w:r>
        <w:rPr>
          <w:rFonts w:ascii="Times New Roman;serif" w:hAnsi="Times New Roman;serif"/>
          <w:b w:val="false"/>
          <w:i/>
          <w:sz w:val="20"/>
        </w:rPr>
        <w:t>Beneficial Owner: Shares Registered in the Name of Broker or Bank</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If you are a beneficial owner of shares registered in the name of your broker, bank or other agent, you should have received a voting instruction form with these proxy materials from that organization rather than from us. To vote prior to the meeting, simply complete and mail the voting instruction form to ensure that your vote is counted. Alternatively, you may vote by telephone or over the internet as instructed by your broker or bank. You may access and vote at the meeting by registering to attend the meeting at www.proxydocs.com/SNSE using your control number on your voting instruction form and by requesting a valid proxy from your broker, bank or other agent.</w:t>
      </w:r>
    </w:p>
    <w:p>
      <w:pPr>
        <w:pStyle w:val="TextBody"/>
        <w:bidi w:val="0"/>
        <w:spacing w:before="0" w:after="0"/>
        <w:jc w:val="left"/>
        <w:rPr/>
      </w:pPr>
      <w:r>
        <w:rPr/>
        <w:t> </w:t>
      </w:r>
    </w:p>
    <w:p>
      <w:pPr>
        <w:pStyle w:val="TextBody"/>
        <w:pBdr>
          <w:top w:val="single" w:sz="8" w:space="1" w:color="000000"/>
          <w:left w:val="single" w:sz="8" w:space="1" w:color="000000"/>
          <w:bottom w:val="single" w:sz="8" w:space="1" w:color="000000"/>
          <w:right w:val="single" w:sz="8" w:space="1" w:color="000000"/>
        </w:pBdr>
        <w:bidi w:val="0"/>
        <w:spacing w:before="0" w:after="0"/>
        <w:jc w:val="left"/>
        <w:rPr>
          <w:rFonts w:ascii="Times New Roman" w:hAnsi="Times New Roman"/>
          <w:sz w:val="20"/>
        </w:rPr>
      </w:pPr>
      <w:r>
        <w:rPr>
          <w:rFonts w:ascii="Times New Roman;serif" w:hAnsi="Times New Roman;serif"/>
          <w:b/>
          <w:sz w:val="20"/>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r>
        <w:rPr>
          <w:rFonts w:ascii="Times New Roman" w:hAnsi="Times New Roman"/>
          <w:sz w:val="20"/>
        </w:rPr>
        <w:t xml:space="preserve"> </w:t>
      </w:r>
    </w:p>
    <w:p>
      <w:pPr>
        <w:pStyle w:val="TextBody"/>
        <w:bidi w:val="0"/>
        <w:spacing w:before="360" w:after="120"/>
        <w:jc w:val="left"/>
        <w:rPr>
          <w:rFonts w:ascii="Times New Roman" w:hAnsi="Times New Roman"/>
          <w:sz w:val="20"/>
        </w:rPr>
      </w:pPr>
      <w:r>
        <w:rPr>
          <w:rFonts w:ascii="Times New Roman;serif" w:hAnsi="Times New Roman;serif"/>
          <w:b/>
          <w:sz w:val="20"/>
        </w:rPr>
        <w:t>How many votes do I have?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On each matter to be voted upon, you have one vote for each share of common stock you own as of June 15, 2023.</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What happens if I do not vote?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i/>
          <w:sz w:val="20"/>
        </w:rPr>
        <w:t>Stockholder of Record: Shares Registered in Your Name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If you are a stockholder of record and do not vote by completing your proxy card, by telephone or through the internet at the Annual Meeting, your shares will not be voted.</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i/>
          <w:sz w:val="20"/>
        </w:rPr>
        <w:t>Beneficial Owner: Shares Registered in the Name of Broker or Bank</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If you are a beneficial owner and do not instruct your broker, bank, or other agent how to vote your shares, the question of whether your broker or nominee will still be able to vote your shares depends on whether the New York Stock Exchange (“NYSE”) deems the particular proposal to be a “routine” matter. Brokers and nominees can use their discretion to vote “uninstructed” shares with respect to matters that are considered to be “routine,” but not with respect to “non-routine” matters. Under the rules and interpretations of the NYSE,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Accordingly, your broker or nominee may not vote your shares on Proposal No. 1, but may vote your shares on Proposal No. 2 even in the absence of your instruction.</w:t>
      </w:r>
    </w:p>
    <w:p>
      <w:pPr>
        <w:pStyle w:val="TextBody"/>
        <w:bidi w:val="0"/>
        <w:spacing w:before="360" w:after="120"/>
        <w:jc w:val="both"/>
        <w:rPr>
          <w:rFonts w:ascii="Times New Roman" w:hAnsi="Times New Roman"/>
          <w:sz w:val="20"/>
        </w:rPr>
      </w:pPr>
      <w:r>
        <w:rPr>
          <w:rFonts w:ascii="Times New Roman;serif" w:hAnsi="Times New Roman;serif"/>
          <w:b/>
          <w:sz w:val="20"/>
        </w:rPr>
        <w:t>What if I return a proxy card or otherwise vote but do not make specific choices?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If you return a signed and dated proxy card or otherwise vote without marking voting selections, your shares will be voted, as applicable, “For” the election of all nominees for director and “For” the ratification of Deloitte &amp; Touche LLP as independent auditors for the year ending December 31, 2023. If any other matter is properly presented at the meeting, your proxyholder (one of the individuals named on your proxy card) will vote your shares using his or her best judgment.</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Who is paying for this proxy solicitation?</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will pay for the entire cost of soliciting proxies. In addition to these proxy materials, our directors and employees may also solicit proxies virtually, by telephone, or by other means of communication. Directors and employees will not be paid any additional compensation for soliciting proxies. We will also reimburse brokerage firms, banks and other agents for the cost of forwarding proxy materials to beneficial owners.</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What does it mean if I receive more than one set of proxy materials?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If you receive more than one set of proxy materials, your shares may be registered in more than one name or in different accounts. Please follow the voting instructions in the proxy materials to ensure that all of your shares are voted.</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20"/>
        <w:jc w:val="both"/>
        <w:rPr>
          <w:rFonts w:ascii="Times New Roman" w:hAnsi="Times New Roman"/>
          <w:sz w:val="20"/>
        </w:rPr>
      </w:pPr>
      <w:r>
        <w:rPr>
          <w:rFonts w:ascii="Times New Roman;serif" w:hAnsi="Times New Roman;serif"/>
          <w:b/>
          <w:sz w:val="20"/>
        </w:rPr>
        <w:t>Can I change my vote after submitting my proxy?</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i/>
          <w:sz w:val="20"/>
        </w:rPr>
        <w:t>Stockholder of Record: Shares Registered in Your Name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Yes. You can revoke your proxy at any time before the final vote at the meeting. If you are the record holder of your shares, you may revoke your proxy in any one of the following ways: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583"/>
        <w:gridCol w:w="2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583"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You may submit another properly completed proxy card with a later date.</w:t>
            </w:r>
            <w:r>
              <w:rPr>
                <w:rFonts w:ascii="Times New Roman" w:hAnsi="Times New Roman"/>
                <w:sz w:val="20"/>
              </w:rPr>
              <w:t xml:space="preserve"> </w:t>
            </w:r>
          </w:p>
        </w:tc>
        <w:tc>
          <w:tcPr>
            <w:tcW w:w="280"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gridSpan w:val="2"/>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You may grant a subsequent proxy by telephone or through the internet.</w:t>
            </w:r>
            <w:r>
              <w:rPr>
                <w:rFonts w:ascii="Times New Roman" w:hAnsi="Times New Roman"/>
                <w:sz w:val="20"/>
              </w:rPr>
              <w:t xml:space="preserve"> </w:t>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gridSpan w:val="2"/>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You may send a timely written notice that you are revoking your proxy to our Corporate Secretary at 1405 Research Blvd, Suite 125, Rockville, Maryland 20850.</w:t>
            </w:r>
            <w:r>
              <w:rPr>
                <w:rFonts w:ascii="Times New Roman" w:hAnsi="Times New Roman"/>
                <w:sz w:val="20"/>
              </w:rPr>
              <w:t xml:space="preserve"> </w:t>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gridSpan w:val="2"/>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You may attend the Annual Meeting and vote online. Simply attending the meeting will not, by itself, revoke your proxy.</w:t>
            </w:r>
            <w:r>
              <w:rPr>
                <w:rFonts w:ascii="Times New Roman" w:hAnsi="Times New Roman"/>
                <w:sz w:val="20"/>
              </w:rPr>
              <w:t xml:space="preserve"> </w:t>
            </w:r>
          </w:p>
        </w:tc>
      </w:tr>
    </w:tbl>
    <w:p>
      <w:pPr>
        <w:pStyle w:val="TextBody"/>
        <w:bidi w:val="0"/>
        <w:spacing w:before="120" w:after="120"/>
        <w:jc w:val="both"/>
        <w:rPr>
          <w:rFonts w:ascii="Times New Roman" w:hAnsi="Times New Roman"/>
          <w:sz w:val="20"/>
        </w:rPr>
      </w:pPr>
      <w:r>
        <w:rPr>
          <w:rFonts w:ascii="Times New Roman;serif" w:hAnsi="Times New Roman;serif"/>
          <w:b w:val="false"/>
          <w:sz w:val="20"/>
        </w:rPr>
        <w:t>Your most current proxy card or telephone or internet proxy is the one that is counted.</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i/>
          <w:sz w:val="20"/>
        </w:rPr>
        <w:t>Beneficial Owner: Shares Registered in the Name of Broker or Bank</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If your shares are held by your broker or bank as a nominee or agent, you should follow the instructions provided by your broker or bank.</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When are stockholder proposals and director nominations due for next year’s Annual Meeting?</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To be considered for inclusion in next year’s proxy materials, your proposal must be submitted in writing by February 16, 2024 to our Corporate Secretary at 1405 Research Blvd, Suite 125, Rockville, Maryland 20850. If you wish to nominate an individual for election at, or bring business other than through a stockholder proposal before, the 2024 Annual Meeting, you must deliver your notice to our Corporate Secretary at the address above between March 12, 2024 and April 11, 2024. Your notice to the Corporate Secretary must set forth information specified in our bylaws, including your name and address and the class and number of shares of our stock that you beneficially own. In addition to satisfying the requirements under our bylaws, to comply with the universal proxy rules, stockholders who intend to solicit proxies in support of director nominees other than our nominees must provide notice that sets forth the information required by Rule 14a-19 under the Securities Exchange Act of 1934, as amended (the “Exchange Act”).</w:t>
      </w:r>
    </w:p>
    <w:p>
      <w:pPr>
        <w:pStyle w:val="TextBody"/>
        <w:bidi w:val="0"/>
        <w:spacing w:before="120" w:after="120"/>
        <w:jc w:val="both"/>
        <w:rPr>
          <w:rFonts w:ascii="Times New Roman" w:hAnsi="Times New Roman"/>
          <w:sz w:val="20"/>
        </w:rPr>
      </w:pPr>
      <w:r>
        <w:rPr>
          <w:rFonts w:ascii="Times New Roman;serif" w:hAnsi="Times New Roman;serif"/>
          <w:b w:val="false"/>
          <w:sz w:val="20"/>
        </w:rPr>
        <w:t>If you propose to bring business before an Annual Meeting other than a director nomination, your notice must also include, as to each matter proposed, the following: (1) a brief description of the business desired to be brought before the Annual Meeting and the reasons for conducting that business at the Annual Meeting and (2) any material interest you have in that business. If you propose to nominate an individual for election as a director, your notice must also include, as to each person you propose to nominate for election as a director, the following: (1) the name, age, business address and residence address of the person, (2) the principal occupation or employment of the person, (3) the class and number of shares of our stock that are owned of record and beneficially owned by the person, (4) the date or dates on which the shares were acquired and the investment intent of the acquisition and (5) any other information concerning the person as would be required to be disclosed in a proxy statement soliciting proxies for the election of that person as a director in an election contest (even if an election contest is not involved), or that is otherwise required to be disclosed pursuant to Section 14 of the Exchange Act, and the rules and regulations promulgated under the Exchange Act, including the person’s written consent to being named as a nominee and to serving as a director if elected.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For more information, and for more detailed requirements, please refer to our Amended and Restated Bylaws, filed as Exhibit 3.2 to our Annual Report on Form 10-K, filed with the Securities and Exchange Commission (the “SEC”) on March 29, 2023.</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How are votes counted?</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Votes will be counted by the inspector of election appointed for the meeting, who will separately count, for the proposal to elect directors, votes “For,” “Withhold” and broker non-votes, and with respect to the ratification of independent auditors, votes “For,” “Against” and abstentions. For Proposal No. 1, broker non-votes will have no effect and will not be counted toward the vote total for any of the director nominees. For Proposal No. 2, abstentions will be counted and will have the same effect as “Against” votes.</w:t>
      </w:r>
      <w:r>
        <w:rPr>
          <w:rFonts w:ascii="Times New Roman" w:hAnsi="Times New Roman"/>
          <w:sz w:val="20"/>
        </w:rPr>
        <w:t xml:space="preserve"> </w:t>
      </w:r>
    </w:p>
    <w:p>
      <w:pPr>
        <w:pStyle w:val="TextBody"/>
        <w:bidi w:val="0"/>
        <w:spacing w:before="360" w:after="120"/>
        <w:jc w:val="left"/>
        <w:rPr>
          <w:rFonts w:ascii="Times New Roman" w:hAnsi="Times New Roman"/>
          <w:sz w:val="20"/>
        </w:rPr>
      </w:pPr>
      <w:r>
        <w:rPr>
          <w:rFonts w:ascii="Times New Roman;serif" w:hAnsi="Times New Roman;serif"/>
          <w:b/>
          <w:sz w:val="20"/>
        </w:rPr>
        <w:t>What are “broker non-votes”?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20"/>
        </w:rPr>
        <w:t>As discussed above, when a beneficial owner of shares held in “street name” does not give instructions to the broker or nominee holding the shares as to how to vote on matters deemed by the NYSE to be “non-routine,” the broker or nominee cannot vote the shares. These unvoted shares are counted as “broker non-votes.”</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How many votes are needed to approve each proposal?</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summarizes the minimum vote needed to approve each proposal and the effect of abstentions and broker non-votes.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647"/>
        <w:gridCol w:w="247"/>
        <w:gridCol w:w="109"/>
        <w:gridCol w:w="3337"/>
        <w:gridCol w:w="109"/>
        <w:gridCol w:w="3115"/>
        <w:gridCol w:w="109"/>
        <w:gridCol w:w="1081"/>
        <w:gridCol w:w="109"/>
        <w:gridCol w:w="1342"/>
      </w:tblGrid>
      <w:tr>
        <w:trPr/>
        <w:tc>
          <w:tcPr>
            <w:tcW w:w="6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894"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1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4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94" w:type="dxa"/>
            <w:gridSpan w:val="2"/>
            <w:tcBorders>
              <w:bottom w:val="single" w:sz="6" w:space="0" w:color="000000"/>
            </w:tcBorders>
            <w:tcMar>
              <w:top w:w="0" w:type="dxa"/>
              <w:left w:w="0" w:type="dxa"/>
              <w:right w:w="0" w:type="dxa"/>
            </w:tcMar>
            <w:vAlign w:val="center"/>
          </w:tcPr>
          <w:p>
            <w:pPr>
              <w:pStyle w:val="TableContents"/>
              <w:bidi w:val="0"/>
              <w:spacing w:before="120" w:after="120"/>
              <w:ind w:left="0" w:right="0" w:hanging="0"/>
              <w:jc w:val="center"/>
              <w:rPr>
                <w:rFonts w:ascii="Times New Roman" w:hAnsi="Times New Roman"/>
                <w:sz w:val="20"/>
              </w:rPr>
            </w:pPr>
            <w:r>
              <w:rPr>
                <w:rFonts w:ascii="Times New Roman;serif" w:hAnsi="Times New Roman;serif"/>
                <w:b/>
                <w:sz w:val="20"/>
              </w:rPr>
              <w:t>Proposal</w:t>
            </w:r>
            <w:r>
              <w:rPr>
                <w:rFonts w:ascii="Times New Roman" w:hAnsi="Times New Roman"/>
                <w:sz w:val="20"/>
              </w:rPr>
              <w:t xml:space="preserve"> </w:t>
            </w:r>
          </w:p>
          <w:p>
            <w:pPr>
              <w:pStyle w:val="TableContents"/>
              <w:bidi w:val="0"/>
              <w:spacing w:before="120" w:after="120"/>
              <w:ind w:left="0" w:right="0" w:hanging="0"/>
              <w:jc w:val="center"/>
              <w:rPr>
                <w:rFonts w:ascii="Times New Roman" w:hAnsi="Times New Roman"/>
                <w:sz w:val="20"/>
              </w:rPr>
            </w:pPr>
            <w:r>
              <w:rPr>
                <w:rFonts w:ascii="Times New Roman;serif" w:hAnsi="Times New Roman;serif"/>
                <w:b/>
                <w:sz w:val="20"/>
              </w:rPr>
              <w:t>Number</w:t>
            </w:r>
            <w:r>
              <w:rPr>
                <w:rFonts w:ascii="Times New Roman" w:hAnsi="Times New Roman"/>
                <w:sz w:val="20"/>
              </w:rPr>
              <w:t xml:space="preserve"> </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7" w:type="dxa"/>
            <w:tcBorders>
              <w:bottom w:val="single" w:sz="6" w:space="0" w:color="000000"/>
            </w:tcBorders>
            <w:tcMar>
              <w:top w:w="0" w:type="dxa"/>
              <w:left w:w="0" w:type="dxa"/>
              <w:right w:w="0" w:type="dxa"/>
            </w:tcMar>
            <w:vAlign w:val="center"/>
          </w:tcPr>
          <w:p>
            <w:pPr>
              <w:pStyle w:val="TableContents"/>
              <w:bidi w:val="0"/>
              <w:spacing w:before="120" w:after="120"/>
              <w:ind w:left="0" w:right="0" w:hanging="0"/>
              <w:jc w:val="center"/>
              <w:rPr>
                <w:rFonts w:ascii="Times New Roman;serif" w:hAnsi="Times New Roman;serif"/>
                <w:b/>
                <w:sz w:val="20"/>
              </w:rPr>
            </w:pPr>
            <w:r>
              <w:rPr>
                <w:rFonts w:ascii="Times New Roman;serif" w:hAnsi="Times New Roman;serif"/>
                <w:b/>
                <w:sz w:val="20"/>
              </w:rPr>
              <w:t>Proposal Description</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15" w:type="dxa"/>
            <w:tcBorders>
              <w:bottom w:val="single" w:sz="6" w:space="0" w:color="000000"/>
            </w:tcBorders>
            <w:tcMar>
              <w:top w:w="0" w:type="dxa"/>
              <w:left w:w="0" w:type="dxa"/>
              <w:right w:w="0" w:type="dxa"/>
            </w:tcMar>
            <w:vAlign w:val="center"/>
          </w:tcPr>
          <w:p>
            <w:pPr>
              <w:pStyle w:val="TableContents"/>
              <w:bidi w:val="0"/>
              <w:spacing w:before="120" w:after="120"/>
              <w:ind w:left="0" w:right="0" w:hanging="0"/>
              <w:jc w:val="center"/>
              <w:rPr>
                <w:rFonts w:ascii="Times New Roman;serif" w:hAnsi="Times New Roman;serif"/>
                <w:b/>
                <w:sz w:val="20"/>
              </w:rPr>
            </w:pPr>
            <w:r>
              <w:rPr>
                <w:rFonts w:ascii="Times New Roman;serif" w:hAnsi="Times New Roman;serif"/>
                <w:b/>
                <w:sz w:val="20"/>
              </w:rPr>
              <w:t>Vote Required for Approval</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81" w:type="dxa"/>
            <w:tcBorders>
              <w:bottom w:val="single" w:sz="6" w:space="0" w:color="000000"/>
            </w:tcBorders>
            <w:tcMar>
              <w:top w:w="0" w:type="dxa"/>
              <w:left w:w="0" w:type="dxa"/>
              <w:right w:w="0" w:type="dxa"/>
            </w:tcMar>
            <w:vAlign w:val="center"/>
          </w:tcPr>
          <w:p>
            <w:pPr>
              <w:pStyle w:val="TableContents"/>
              <w:bidi w:val="0"/>
              <w:spacing w:before="120" w:after="120"/>
              <w:ind w:left="0" w:right="0" w:hanging="0"/>
              <w:jc w:val="center"/>
              <w:rPr>
                <w:rFonts w:ascii="Times New Roman;serif" w:hAnsi="Times New Roman;serif"/>
                <w:b/>
                <w:sz w:val="20"/>
              </w:rPr>
            </w:pPr>
            <w:r>
              <w:rPr>
                <w:rFonts w:ascii="Times New Roman;serif" w:hAnsi="Times New Roman;serif"/>
                <w:b/>
                <w:sz w:val="20"/>
              </w:rPr>
              <w:t>Effect of</w:t>
            </w:r>
          </w:p>
          <w:p>
            <w:pPr>
              <w:pStyle w:val="TableContents"/>
              <w:bidi w:val="0"/>
              <w:spacing w:before="120" w:after="120"/>
              <w:ind w:left="0" w:right="0" w:hanging="0"/>
              <w:jc w:val="center"/>
              <w:rPr>
                <w:rFonts w:ascii="Times New Roman;serif" w:hAnsi="Times New Roman;serif"/>
                <w:b/>
                <w:sz w:val="20"/>
              </w:rPr>
            </w:pPr>
            <w:r>
              <w:rPr>
                <w:rFonts w:ascii="Times New Roman;serif" w:hAnsi="Times New Roman;serif"/>
                <w:b/>
                <w:sz w:val="20"/>
              </w:rPr>
              <w:t>Abstentions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42" w:type="dxa"/>
            <w:tcBorders>
              <w:bottom w:val="single" w:sz="6" w:space="0" w:color="000000"/>
            </w:tcBorders>
            <w:tcMar>
              <w:top w:w="0" w:type="dxa"/>
              <w:left w:w="0" w:type="dxa"/>
              <w:right w:w="0" w:type="dxa"/>
            </w:tcMar>
            <w:vAlign w:val="center"/>
          </w:tcPr>
          <w:p>
            <w:pPr>
              <w:pStyle w:val="TableContents"/>
              <w:bidi w:val="0"/>
              <w:spacing w:before="120" w:after="120"/>
              <w:ind w:left="0" w:right="0" w:hanging="0"/>
              <w:jc w:val="center"/>
              <w:rPr>
                <w:rFonts w:ascii="Times New Roman;serif" w:hAnsi="Times New Roman;serif"/>
                <w:b/>
                <w:sz w:val="20"/>
              </w:rPr>
            </w:pPr>
            <w:r>
              <w:rPr>
                <w:rFonts w:ascii="Times New Roman;serif" w:hAnsi="Times New Roman;serif"/>
                <w:b/>
                <w:sz w:val="20"/>
              </w:rPr>
              <w:t>Effect of</w:t>
            </w:r>
          </w:p>
          <w:p>
            <w:pPr>
              <w:pStyle w:val="TableContents"/>
              <w:bidi w:val="0"/>
              <w:spacing w:before="120" w:after="120"/>
              <w:ind w:left="0" w:right="0" w:hanging="0"/>
              <w:jc w:val="center"/>
              <w:rPr>
                <w:rFonts w:ascii="Times New Roman;serif" w:hAnsi="Times New Roman;serif"/>
                <w:b/>
                <w:sz w:val="20"/>
              </w:rPr>
            </w:pPr>
            <w:r>
              <w:rPr>
                <w:rFonts w:ascii="Times New Roman;serif" w:hAnsi="Times New Roman;serif"/>
                <w:b/>
                <w:sz w:val="20"/>
              </w:rPr>
              <w:t>Broker Non-</w:t>
            </w:r>
          </w:p>
          <w:p>
            <w:pPr>
              <w:pStyle w:val="TableContents"/>
              <w:bidi w:val="0"/>
              <w:spacing w:before="120" w:after="120"/>
              <w:ind w:left="0" w:right="0" w:hanging="0"/>
              <w:jc w:val="center"/>
              <w:rPr>
                <w:rFonts w:ascii="Times New Roman;serif" w:hAnsi="Times New Roman;serif"/>
                <w:b/>
                <w:sz w:val="20"/>
              </w:rPr>
            </w:pPr>
            <w:r>
              <w:rPr>
                <w:rFonts w:ascii="Times New Roman;serif" w:hAnsi="Times New Roman;serif"/>
                <w:b/>
                <w:sz w:val="20"/>
              </w:rPr>
              <w:t>Votes</w:t>
            </w:r>
          </w:p>
        </w:tc>
      </w:tr>
      <w:tr>
        <w:trPr/>
        <w:tc>
          <w:tcPr>
            <w:tcW w:w="894"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46"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24"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51"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94" w:type="dxa"/>
            <w:gridSpan w:val="2"/>
            <w:tcBorders/>
            <w:tcMar>
              <w:top w:w="0" w:type="dxa"/>
              <w:left w:w="0" w:type="dxa"/>
              <w:bottom w:w="0" w:type="dxa"/>
              <w:right w:w="0" w:type="dxa"/>
            </w:tcMar>
            <w:vAlign w:val="center"/>
          </w:tcPr>
          <w:p>
            <w:pPr>
              <w:pStyle w:val="TableContents"/>
              <w:bidi w:val="0"/>
              <w:spacing w:before="120" w:after="12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7"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Election of Directors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15"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Nominees receiving the most “For” votes.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No effect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42"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No effect</w:t>
            </w:r>
          </w:p>
        </w:tc>
      </w:tr>
      <w:tr>
        <w:trPr/>
        <w:tc>
          <w:tcPr>
            <w:tcW w:w="894"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46"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24"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51" w:type="dxa"/>
            <w:gridSpan w:val="2"/>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94" w:type="dxa"/>
            <w:gridSpan w:val="2"/>
            <w:tcBorders/>
            <w:tcMar>
              <w:top w:w="0" w:type="dxa"/>
              <w:left w:w="0" w:type="dxa"/>
              <w:bottom w:w="0" w:type="dxa"/>
              <w:right w:w="0" w:type="dxa"/>
            </w:tcMar>
            <w:vAlign w:val="center"/>
          </w:tcPr>
          <w:p>
            <w:pPr>
              <w:pStyle w:val="TableContents"/>
              <w:bidi w:val="0"/>
              <w:spacing w:before="120" w:after="12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7"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Ratification of the appointment of Deloitte &amp; Touche LLP as our independent registered public accounting firm for the year ending December 31,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15" w:type="dxa"/>
            <w:tcBorders/>
            <w:tcMar>
              <w:top w:w="0" w:type="dxa"/>
              <w:left w:w="0" w:type="dxa"/>
              <w:bottom w:w="0" w:type="dxa"/>
              <w:right w:w="0" w:type="dxa"/>
            </w:tcMar>
            <w:vAlign w:val="center"/>
          </w:tcPr>
          <w:p>
            <w:pPr>
              <w:pStyle w:val="TableContents"/>
              <w:bidi w:val="0"/>
              <w:spacing w:before="120" w:after="120"/>
              <w:ind w:left="0" w:right="0" w:hanging="0"/>
              <w:jc w:val="left"/>
              <w:rPr/>
            </w:pPr>
            <w:r>
              <w:rPr/>
              <w:t>“</w:t>
            </w:r>
            <w:r>
              <w:rPr>
                <w:rFonts w:ascii="Times New Roman;serif" w:hAnsi="Times New Roman;serif"/>
                <w:b w:val="false"/>
                <w:sz w:val="20"/>
              </w:rPr>
              <w:t>For” votes from holders of a majority of the stock having voting power present virtually or represented by proxy at the 2023 Annual Meeting.</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Against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42"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 w:hAnsi="Times New Roman"/>
                <w:sz w:val="20"/>
              </w:rPr>
            </w:pPr>
            <w:r>
              <w:rPr>
                <w:rFonts w:ascii="Times New Roman;serif" w:hAnsi="Times New Roman;serif"/>
                <w:b w:val="false"/>
                <w:sz w:val="20"/>
              </w:rPr>
              <w:t xml:space="preserve">Brokers have discretion to vote </w:t>
            </w:r>
            <w:r>
              <w:rPr>
                <w:rFonts w:ascii="Times New Roman;serif" w:hAnsi="Times New Roman;serif"/>
                <w:b w:val="false"/>
                <w:sz w:val="13"/>
              </w:rPr>
              <w:t>(1)</w:t>
            </w:r>
          </w:p>
        </w:tc>
      </w:tr>
      <w:tr>
        <w:trPr/>
        <w:tc>
          <w:tcPr>
            <w:tcW w:w="894" w:type="dxa"/>
            <w:gridSpan w:val="2"/>
            <w:tcBorders>
              <w:bottom w:val="sing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bottom w:val="sing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37" w:type="dxa"/>
            <w:tcBorders>
              <w:bottom w:val="sing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bottom w:val="sing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15" w:type="dxa"/>
            <w:tcBorders>
              <w:bottom w:val="sing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bottom w:val="sing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81" w:type="dxa"/>
            <w:tcBorders>
              <w:bottom w:val="sing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bottom w:val="sing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42" w:type="dxa"/>
            <w:tcBorders>
              <w:bottom w:val="sing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47"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(1)</w:t>
            </w:r>
          </w:p>
        </w:tc>
        <w:tc>
          <w:tcPr>
            <w:tcW w:w="9558" w:type="dxa"/>
            <w:gridSpan w:val="9"/>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 w:hAnsi="Times New Roman"/>
                <w:sz w:val="20"/>
              </w:rPr>
            </w:pPr>
            <w:r>
              <w:rPr>
                <w:rFonts w:ascii="Times New Roman;serif" w:hAnsi="Times New Roman;serif"/>
                <w:b w:val="false"/>
                <w:sz w:val="20"/>
              </w:rPr>
              <w:t>This proposal is considered a “routine” matter under NYSE rules. Accordingly, if you hold your shares in street name and do not provide voting instructions to your broker, bank or other agent that holds your shares, your broker, bank or other agent has discretionary authority under NYSE rules to vote your shares on this proposal.</w:t>
            </w:r>
            <w:r>
              <w:rPr>
                <w:rFonts w:ascii="Times New Roman" w:hAnsi="Times New Roman"/>
                <w:sz w:val="20"/>
              </w:rPr>
              <w:t xml:space="preserve"> </w:t>
            </w:r>
          </w:p>
        </w:tc>
      </w:tr>
    </w:tbl>
    <w:p>
      <w:pPr>
        <w:pStyle w:val="TextBody"/>
        <w:bidi w:val="0"/>
        <w:spacing w:before="360" w:after="120"/>
        <w:jc w:val="both"/>
        <w:rPr>
          <w:rFonts w:ascii="Times New Roman" w:hAnsi="Times New Roman"/>
          <w:sz w:val="20"/>
        </w:rPr>
      </w:pPr>
      <w:r>
        <w:rPr>
          <w:rFonts w:ascii="Times New Roman;serif" w:hAnsi="Times New Roman;serif"/>
          <w:b/>
          <w:sz w:val="20"/>
        </w:rPr>
        <w:t>What is the quorum requirement?</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A quorum of stockholders is necessary to hold a valid meeting. A quorum is present if stockholders</w:t>
      </w:r>
      <w:r>
        <w:rPr>
          <w:rFonts w:ascii="Times New Roman" w:hAnsi="Times New Roman"/>
          <w:sz w:val="20"/>
        </w:rPr>
        <w:t xml:space="preserve"> </w:t>
      </w:r>
      <w:r>
        <w:rPr>
          <w:rFonts w:ascii="Times New Roman;serif" w:hAnsi="Times New Roman;serif"/>
          <w:b w:val="false"/>
          <w:sz w:val="20"/>
        </w:rPr>
        <w:t>holding</w:t>
      </w:r>
      <w:r>
        <w:rPr>
          <w:rFonts w:ascii="Times New Roman" w:hAnsi="Times New Roman"/>
          <w:sz w:val="20"/>
        </w:rPr>
        <w:t xml:space="preserve"> </w:t>
      </w:r>
      <w:r>
        <w:rPr>
          <w:rFonts w:ascii="Times New Roman;serif" w:hAnsi="Times New Roman;serif"/>
          <w:b w:val="false"/>
          <w:sz w:val="20"/>
        </w:rPr>
        <w:t>at least a majority of the outstanding shares entitled to vote are present at the Annual Meeting virtually or represented by proxy. On the record date, there were 26,561,712 shares</w:t>
      </w:r>
      <w:r>
        <w:rPr>
          <w:rFonts w:ascii="Times New Roman" w:hAnsi="Times New Roman"/>
          <w:sz w:val="20"/>
        </w:rPr>
        <w:t xml:space="preserve"> </w:t>
      </w:r>
      <w:r>
        <w:rPr>
          <w:rFonts w:ascii="Times New Roman;serif" w:hAnsi="Times New Roman;serif"/>
          <w:b w:val="false"/>
          <w:sz w:val="20"/>
        </w:rPr>
        <w:t>outstanding and entitled to vote.</w:t>
      </w:r>
      <w:r>
        <w:rPr>
          <w:rFonts w:ascii="Times New Roman" w:hAnsi="Times New Roman"/>
          <w:sz w:val="20"/>
        </w:rPr>
        <w:t xml:space="preserve"> </w:t>
      </w:r>
      <w:r>
        <w:rPr>
          <w:rFonts w:ascii="Times New Roman;serif" w:hAnsi="Times New Roman;serif"/>
          <w:b w:val="false"/>
          <w:sz w:val="20"/>
        </w:rPr>
        <w:t>Thus, the holders of 13,280,857 shares must be present virtually or represented by proxy at the Annual Meeting to have a quorum.</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Your shares will be counted towards the quorum only if you submit a valid proxy (or one is submitted on your behalf by your broker, bank or other nominee) or if you vote online at the meeting. Abstentions and broker non-votes will be counted towards the quorum requirement. If there is no quorum, either the chairman of the Annual Meeting or the holders of a majority of shares present at the Annual Meeting virtually or represented by proxy may adjourn the meeting to another date.</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How can I find out the results of the voting at the Annual Meeting?</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Preliminary voting results will be announced at the Annual Meeting. In addition, final voting results will be published in a current report on Form 8-K that we expect to file within four business days after the Annual Meeting.</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center"/>
        <w:rPr>
          <w:rFonts w:ascii="Times New Roman" w:hAnsi="Times New Roman"/>
          <w:sz w:val="20"/>
        </w:rPr>
      </w:pPr>
      <w:bookmarkStart w:id="3" w:name="proposal1"/>
      <w:bookmarkEnd w:id="3"/>
      <w:r>
        <w:rPr>
          <w:rFonts w:ascii="Times New Roman;serif" w:hAnsi="Times New Roman;serif"/>
          <w:b/>
          <w:sz w:val="20"/>
        </w:rPr>
        <w:t>PROPOSAL NO. 1</w:t>
      </w:r>
      <w:r>
        <w:rPr>
          <w:rFonts w:ascii="Times New Roman" w:hAnsi="Times New Roman"/>
          <w:sz w:val="20"/>
        </w:rPr>
        <w:t xml:space="preserve"> </w:t>
      </w:r>
    </w:p>
    <w:p>
      <w:pPr>
        <w:pStyle w:val="TextBody"/>
        <w:bidi w:val="0"/>
        <w:spacing w:before="360" w:after="120"/>
        <w:jc w:val="center"/>
        <w:rPr>
          <w:rFonts w:ascii="Times New Roman" w:hAnsi="Times New Roman"/>
          <w:sz w:val="20"/>
        </w:rPr>
      </w:pPr>
      <w:r>
        <w:rPr>
          <w:rFonts w:ascii="Times New Roman;serif" w:hAnsi="Times New Roman;serif"/>
          <w:b/>
          <w:sz w:val="20"/>
        </w:rPr>
        <w:t>ELECTION OF DIRECTORS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Our Board of Directors is divided into three classes and currently has nine members.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There are three directors in the class whose term of office expires in 2023: Bob Holmen, Kristian Humer and Deneen Vojta. Each of the nominees is currently a director of the Company and each nominee, other than Mr. Humer, was previously elected by the stockholders. Mr. Humer was recommended to the Nominating and Corporate Governance Committee for nomination by our Chief Executive Officer. If elected at the Annual Meeting, these nominees will serve until the 2026 Annual Meeting and until his or her successor has been duly elected and qualified, or, if sooner, until his or her death, resignation or removal. It is the Company’s policy to invite and encourage directors and nominees for director to attend the Annual Meeting. All of the directors attended the 2022 Annual Meeting of Stockholders.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Directors are elected by a plurality of the votes of the holders of shares present virtually or represented by proxy and entitled to vote on the election of directors. Accordingly, the three nominees receiving the highest number of affirmative votes will be elected. Shares represented by executed proxies will be voted, if authority to do so is not withheld, for the election of the three</w:t>
      </w:r>
      <w:r>
        <w:rPr>
          <w:rFonts w:ascii="Times New Roman" w:hAnsi="Times New Roman"/>
          <w:sz w:val="20"/>
        </w:rPr>
        <w:t xml:space="preserve"> </w:t>
      </w:r>
      <w:r>
        <w:rPr>
          <w:rFonts w:ascii="Times New Roman;serif" w:hAnsi="Times New Roman;serif"/>
          <w:b w:val="false"/>
          <w:sz w:val="20"/>
        </w:rPr>
        <w:t>nominees named below. If any of the nominees becomes unavailable for election as a result of an unexpected occurrence, shares that would have been voted for that nominee may instead be voted for the election of a substitute nominee that we propose. Each person nominated for election has agreed to serve if elected. We have no reason to believe that any of the nominees will be unable to serve.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Nominating and Corporate Governance Committee seeks to assemble a board that, as a whole, possesses the appropriate balance of professional and industry knowledge, financial expertise and high-level management experience and capability in various areas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experience, judgment, commitment, skills, diversity, expertise and other qualities that the Nominating and Corporate Governance Committee views as critical to effective functioning of the Board. The brief biographies below include information, as of the date of this proxy statement, regarding the specific and particular experience, qualifications, attributes or skills of each director or nominee that led the Nominating and Corporate Governance Committee</w:t>
      </w:r>
      <w:r>
        <w:rPr>
          <w:rFonts w:ascii="Times New Roman" w:hAnsi="Times New Roman"/>
          <w:sz w:val="20"/>
        </w:rPr>
        <w:t xml:space="preserve"> </w:t>
      </w:r>
      <w:r>
        <w:rPr>
          <w:rFonts w:ascii="Times New Roman;serif" w:hAnsi="Times New Roman;serif"/>
          <w:b w:val="false"/>
          <w:sz w:val="20"/>
        </w:rPr>
        <w:t>to believe that nominee should continue to serve on the Board. However, each of the members of the Nominating and Corporate Governance Committee may have a variety of reasons why he or she believes a particular person would be an appropriate nominee for the Board, and these views may differ from the views of other members.</w:t>
      </w:r>
      <w:r>
        <w:rPr>
          <w:rFonts w:ascii="Times New Roman" w:hAnsi="Times New Roman"/>
          <w:sz w:val="20"/>
        </w:rPr>
        <w:t xml:space="preserve"> </w:t>
      </w:r>
    </w:p>
    <w:p>
      <w:pPr>
        <w:pStyle w:val="TextBody"/>
        <w:bidi w:val="0"/>
        <w:spacing w:before="360" w:after="120"/>
        <w:jc w:val="both"/>
        <w:rPr>
          <w:rFonts w:ascii="Times New Roman;serif" w:hAnsi="Times New Roman;serif"/>
          <w:b/>
          <w:sz w:val="20"/>
        </w:rPr>
      </w:pPr>
      <w:r>
        <w:rPr>
          <w:rFonts w:ascii="Times New Roman;serif" w:hAnsi="Times New Roman;serif"/>
          <w:b/>
          <w:sz w:val="20"/>
        </w:rPr>
        <w:t>CLASS II DIRECTOR NOMINEES FOR ELECTION FOR A THREE-YEAR TERM EXPIRING AT THE 2026 ANNUAL MEETING</w:t>
      </w:r>
    </w:p>
    <w:p>
      <w:pPr>
        <w:pStyle w:val="TextBody"/>
        <w:bidi w:val="0"/>
        <w:spacing w:before="120" w:after="120"/>
        <w:jc w:val="both"/>
        <w:rPr>
          <w:rFonts w:ascii="Times New Roman" w:hAnsi="Times New Roman"/>
          <w:sz w:val="20"/>
        </w:rPr>
      </w:pPr>
      <w:r>
        <w:rPr>
          <w:rFonts w:ascii="Times New Roman;serif" w:hAnsi="Times New Roman;serif"/>
          <w:b w:val="false"/>
          <w:sz w:val="20"/>
        </w:rPr>
        <w:t>The following is a brief biography of each nominee for director and their ages as of June 15, 2023, along with a discussion of the specific experience, qualifications, attributes or skills of each nominee that led the Nominating and Corporate Governance Committee</w:t>
      </w:r>
      <w:r>
        <w:rPr>
          <w:rFonts w:ascii="Times New Roman" w:hAnsi="Times New Roman"/>
          <w:sz w:val="20"/>
        </w:rPr>
        <w:t xml:space="preserve"> </w:t>
      </w:r>
      <w:r>
        <w:rPr>
          <w:rFonts w:ascii="Times New Roman;serif" w:hAnsi="Times New Roman;serif"/>
          <w:b w:val="false"/>
          <w:sz w:val="20"/>
        </w:rPr>
        <w:t>to recommend that person as a nominee for director.</w:t>
      </w:r>
      <w:r>
        <w:rPr>
          <w:rFonts w:ascii="Times New Roman" w:hAnsi="Times New Roman"/>
          <w:sz w:val="20"/>
        </w:rPr>
        <w:t xml:space="preserve"> </w:t>
      </w:r>
    </w:p>
    <w:p>
      <w:pPr>
        <w:pStyle w:val="TextBody"/>
        <w:bidi w:val="0"/>
        <w:spacing w:before="360" w:after="120"/>
        <w:jc w:val="left"/>
        <w:rPr>
          <w:rFonts w:ascii="Times New Roman" w:hAnsi="Times New Roman"/>
          <w:sz w:val="20"/>
        </w:rPr>
      </w:pPr>
      <w:r>
        <w:rPr>
          <w:rFonts w:ascii="Times New Roman;serif" w:hAnsi="Times New Roman;serif"/>
          <w:b/>
          <w:i/>
          <w:sz w:val="20"/>
        </w:rPr>
        <w:t>Bob Holmen</w:t>
      </w:r>
      <w:r>
        <w:rPr>
          <w:rFonts w:ascii="Times New Roman;serif" w:hAnsi="Times New Roman;serif"/>
          <w:b w:val="false"/>
          <w:i/>
          <w:sz w:val="20"/>
        </w:rPr>
        <w:t>, age 59</w:t>
      </w:r>
    </w:p>
    <w:p>
      <w:pPr>
        <w:pStyle w:val="TextBody"/>
        <w:bidi w:val="0"/>
        <w:spacing w:before="120" w:after="120"/>
        <w:jc w:val="both"/>
        <w:rPr>
          <w:rFonts w:ascii="Times New Roman" w:hAnsi="Times New Roman"/>
          <w:sz w:val="20"/>
        </w:rPr>
      </w:pPr>
      <w:r>
        <w:rPr>
          <w:rFonts w:ascii="Times New Roman;serif" w:hAnsi="Times New Roman;serif"/>
          <w:b w:val="false"/>
          <w:sz w:val="20"/>
        </w:rPr>
        <w:t>Bob Holmen has served as a member of our board of directors since January 2017. Mr. Holmen provides legal services focused on venture capital and private equity markets to investors through his boutique law firm Investor Counsel, where he has served as a Principal since 2016. Mr. Holmen has also served as a Managing Director since 2001 and Chief Financial Officer since 2002 at Miramar Venture Partners, a venture capital firm, and as a Principal of Holmen Ventures, a strategic financial consulting firm, since 2013. Prior to Miramar, Mr. Holmen served as an Executive Officer for CoCensys, Inc., a biopharmaceutical company, and First Consulting Group, Inc., a healthcare consulting firm. Mr. Holmen received a B.S. in Electrical Engineering from Stanford University and a J.D. from University of California, Berkeley School of Law. We believe that Mr. Holmen’s education and professional background in advising companies in the biotechnology industry qualifies him to serve on our board of directors.</w:t>
      </w:r>
      <w:r>
        <w:rPr>
          <w:rFonts w:ascii="Times New Roman" w:hAnsi="Times New Roman"/>
          <w:sz w:val="20"/>
        </w:rPr>
        <w:t xml:space="preserve"> </w:t>
      </w:r>
    </w:p>
    <w:p>
      <w:pPr>
        <w:pStyle w:val="TextBody"/>
        <w:bidi w:val="0"/>
        <w:spacing w:before="360" w:after="120"/>
        <w:jc w:val="left"/>
        <w:rPr>
          <w:rFonts w:ascii="Times New Roman" w:hAnsi="Times New Roman"/>
          <w:sz w:val="20"/>
        </w:rPr>
      </w:pPr>
      <w:r>
        <w:rPr>
          <w:rFonts w:ascii="Times New Roman;serif" w:hAnsi="Times New Roman;serif"/>
          <w:b/>
          <w:i/>
          <w:sz w:val="20"/>
        </w:rPr>
        <w:t>Deneen Vojta</w:t>
      </w:r>
      <w:r>
        <w:rPr>
          <w:rFonts w:ascii="Times New Roman;serif" w:hAnsi="Times New Roman;serif"/>
          <w:b w:val="false"/>
          <w:sz w:val="20"/>
        </w:rPr>
        <w:t xml:space="preserve">, </w:t>
      </w:r>
      <w:r>
        <w:rPr>
          <w:rFonts w:ascii="Times New Roman;serif" w:hAnsi="Times New Roman;serif"/>
          <w:b w:val="false"/>
          <w:i/>
          <w:sz w:val="20"/>
        </w:rPr>
        <w:t>age 58</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Deneen Vojta, M.D. has served as a member of our board of directors since January 2021. Dr. Vojta has served in various roles at UnitedHealth Group since 2006, including most recently as the Executive Vice President for Global Research &amp; Development since 2016. Prior to UnitedHealth, she founded Mynetico, a company focused on the childhood obesity epidemic, and served as its Chief Executive Officer from 2003 to 2006. Prior to that, she served as the Chief Medical Officer of Health Partners from 1997 to 2000 and Frankford Health System from 2000 to 2003. Dr. Vojta has been a director of HIKMA Pharmaceuticals since 2022. Dr. Vojta received a B.S. from the University of Pittsburgh and an M.D. from Temple University School of Medicine. We believe that Dr. Vojta’s significant scientific experience and experience as an executive of life sciences companies qualifies her to serve on our board of directors.</w:t>
      </w:r>
    </w:p>
    <w:p>
      <w:pPr>
        <w:pStyle w:val="TextBody"/>
        <w:bidi w:val="0"/>
        <w:spacing w:before="360" w:after="120"/>
        <w:jc w:val="left"/>
        <w:rPr>
          <w:rFonts w:ascii="Times New Roman" w:hAnsi="Times New Roman"/>
          <w:sz w:val="20"/>
        </w:rPr>
      </w:pPr>
      <w:r>
        <w:rPr>
          <w:rFonts w:ascii="Times New Roman;serif" w:hAnsi="Times New Roman;serif"/>
          <w:b/>
          <w:i/>
          <w:sz w:val="20"/>
        </w:rPr>
        <w:t>Kristian Humer</w:t>
      </w:r>
      <w:r>
        <w:rPr>
          <w:rFonts w:ascii="Times New Roman;serif" w:hAnsi="Times New Roman;serif"/>
          <w:b w:val="false"/>
          <w:sz w:val="20"/>
        </w:rPr>
        <w:t xml:space="preserve">, </w:t>
      </w:r>
      <w:r>
        <w:rPr>
          <w:rFonts w:ascii="Times New Roman;serif" w:hAnsi="Times New Roman;serif"/>
          <w:b w:val="false"/>
          <w:i/>
          <w:sz w:val="20"/>
        </w:rPr>
        <w:t>age 48</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Kristian Humer has served as a member of our board of directors since July 2021. Mr. Humer has served as the Chief Financial Officer and Chief Business Officer of Viridian Therapeutics Inc. since July 2021. Prior to Veridian, Mr. Humer served as Managing Director of Banking, Capital Markets and Advisory for the Global Healthcare team at Citigroup Inc., from 2017 to July 2021, where he helped lead the firm’s investment banking advisory engagements for small- and mid-sized biopharma and select large cap pharmaceutical companies. He previously served in a number of roles at Citigroup Inc., including Director, Healthcare Investment Banking from 2014 to 2016, Vice President, Healthcare Investment Banking from 2011 to 2013 and Associate, Healthcare Investment Banking in 2010. Prior to joining Citigroup Inc., Mr. Humer served as Vice President and Associate in the Investment Banking Division for the Global Healthcare team at Lehman Brothers, Inc. from 2007 to 2009. Mr. Humer started his career serving positions of increasing responsibility in the investment banking and private banking divisions of UBS AG and Merrill Lynch (a Bank of America company). He received an MBA from the Fuqua School of Business at Duke University and a B.A. (Hons) in Accounting &amp; Economics from the University of Reading, United Kingdom. We believe that Mr. Humer’s experience in the biopharmaceutical industry and his years of investment banking and leadership experience qualify him to serve on our board of directors.</w:t>
      </w:r>
    </w:p>
    <w:p>
      <w:pPr>
        <w:pStyle w:val="TextBody"/>
        <w:bidi w:val="0"/>
        <w:spacing w:before="360" w:after="120"/>
        <w:jc w:val="center"/>
        <w:rPr>
          <w:rFonts w:ascii="Times New Roman" w:hAnsi="Times New Roman"/>
          <w:sz w:val="20"/>
        </w:rPr>
      </w:pPr>
      <w:r>
        <w:rPr>
          <w:rFonts w:ascii="Times New Roman;serif" w:hAnsi="Times New Roman;serif"/>
          <w:b/>
          <w:sz w:val="20"/>
        </w:rPr>
        <w:t>THE BOARD OF DIRECTORS RECOMMENDS</w:t>
      </w:r>
      <w:r>
        <w:rPr>
          <w:rFonts w:ascii="Times New Roman" w:hAnsi="Times New Roman"/>
          <w:sz w:val="20"/>
        </w:rPr>
        <w:t xml:space="preserve"> </w:t>
      </w:r>
    </w:p>
    <w:p>
      <w:pPr>
        <w:pStyle w:val="TextBody"/>
        <w:bidi w:val="0"/>
        <w:spacing w:before="120" w:after="120"/>
        <w:jc w:val="center"/>
        <w:rPr>
          <w:rFonts w:ascii="Times New Roman" w:hAnsi="Times New Roman"/>
          <w:sz w:val="20"/>
        </w:rPr>
      </w:pPr>
      <w:r>
        <w:rPr>
          <w:rFonts w:ascii="Times New Roman;serif" w:hAnsi="Times New Roman;serif"/>
          <w:b/>
          <w:sz w:val="20"/>
        </w:rPr>
        <w:t>A VOTE “</w:t>
      </w:r>
      <w:r>
        <w:rPr>
          <w:rFonts w:ascii="Times New Roman;serif" w:hAnsi="Times New Roman;serif"/>
          <w:b/>
          <w:sz w:val="20"/>
          <w:u w:val="single"/>
        </w:rPr>
        <w:t>FOR</w:t>
      </w:r>
      <w:r>
        <w:rPr>
          <w:rFonts w:ascii="Times New Roman" w:hAnsi="Times New Roman"/>
          <w:sz w:val="20"/>
        </w:rPr>
        <w:t xml:space="preserve">” </w:t>
      </w:r>
      <w:r>
        <w:rPr>
          <w:rFonts w:ascii="Times New Roman;serif" w:hAnsi="Times New Roman;serif"/>
          <w:b/>
          <w:sz w:val="20"/>
        </w:rPr>
        <w:t>EACH NAMED NOMINEE.</w:t>
      </w:r>
      <w:r>
        <w:rPr>
          <w:rFonts w:ascii="Times New Roman" w:hAnsi="Times New Roman"/>
          <w:sz w:val="20"/>
        </w:rPr>
        <w:t xml:space="preserve"> </w:t>
      </w:r>
    </w:p>
    <w:p>
      <w:pPr>
        <w:pStyle w:val="TextBody"/>
        <w:bidi w:val="0"/>
        <w:spacing w:before="360" w:after="120"/>
        <w:jc w:val="both"/>
        <w:rPr>
          <w:rFonts w:ascii="Times New Roman;serif" w:hAnsi="Times New Roman;serif"/>
          <w:b/>
          <w:sz w:val="20"/>
        </w:rPr>
      </w:pPr>
      <w:r>
        <w:rPr>
          <w:rFonts w:ascii="Times New Roman;serif" w:hAnsi="Times New Roman;serif"/>
          <w:b/>
          <w:sz w:val="20"/>
        </w:rPr>
        <w:t>CLASS I DIRECTORS CONTINUING IN OFFICE UNTIL THE 2025 ANNUAL MEETING</w:t>
      </w:r>
    </w:p>
    <w:p>
      <w:pPr>
        <w:pStyle w:val="TextBody"/>
        <w:bidi w:val="0"/>
        <w:spacing w:before="360" w:after="120"/>
        <w:jc w:val="both"/>
        <w:rPr>
          <w:rFonts w:ascii="Times New Roman" w:hAnsi="Times New Roman"/>
          <w:sz w:val="20"/>
        </w:rPr>
      </w:pPr>
      <w:r>
        <w:rPr>
          <w:rFonts w:ascii="Times New Roman;serif" w:hAnsi="Times New Roman;serif"/>
          <w:b/>
          <w:i/>
          <w:sz w:val="20"/>
        </w:rPr>
        <w:t>John Celebi</w:t>
      </w:r>
      <w:r>
        <w:rPr>
          <w:rFonts w:ascii="Times New Roman;serif" w:hAnsi="Times New Roman;serif"/>
          <w:b w:val="false"/>
          <w:i/>
          <w:sz w:val="20"/>
        </w:rPr>
        <w:t>, age 51</w:t>
      </w:r>
    </w:p>
    <w:p>
      <w:pPr>
        <w:pStyle w:val="TextBody"/>
        <w:bidi w:val="0"/>
        <w:spacing w:before="120" w:after="120"/>
        <w:jc w:val="both"/>
        <w:rPr>
          <w:rFonts w:ascii="Times New Roman" w:hAnsi="Times New Roman"/>
          <w:sz w:val="20"/>
        </w:rPr>
      </w:pPr>
      <w:r>
        <w:rPr>
          <w:rFonts w:ascii="Times New Roman;serif" w:hAnsi="Times New Roman;serif"/>
          <w:b w:val="false"/>
          <w:sz w:val="20"/>
        </w:rPr>
        <w:t>John Celebi has served as our President and Chief Executive Officer and a member of our board of directors since February 2018. Prior to joining us, from 2016 until February 2018, Mr. Celebi served as Chief Operating Officer of X4 Pharmaceuticals, Inc., a clinical-stage biopharmaceutical company. Prior to X4 Pharmaceuticals, from 2011 until 2016, he served as Chief Business Officer at Igenica Biotherapeutics, Inc., an immunotherapy company. Prior to joining Igenica Biotherapeutics, Mr. Celebi served in various roles at ArQule, Inc., a biotechnology and pharmaceutical company from 2003 until 2011, including as Vice President of Business Development and New Product Planning and Alliance Management. Mr. Celebi received a B.S. in Biophysics from the University of California, San Diego and an M.B.A. from Carnegie Mellon University. We believe that Mr. Celebi’s perspective and deep experience in the biotechnology industry, as well as his experience leading our company as the President and Chief Executive Officer, qualifies him to serve on our board of directors.</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i/>
          <w:sz w:val="20"/>
        </w:rPr>
        <w:t>Samuel Broder</w:t>
      </w:r>
      <w:r>
        <w:rPr>
          <w:rFonts w:ascii="Times New Roman;serif" w:hAnsi="Times New Roman;serif"/>
          <w:b w:val="false"/>
          <w:i/>
          <w:sz w:val="20"/>
        </w:rPr>
        <w:t>, age 78</w:t>
      </w:r>
    </w:p>
    <w:p>
      <w:pPr>
        <w:pStyle w:val="TextBody"/>
        <w:bidi w:val="0"/>
        <w:spacing w:before="120" w:after="120"/>
        <w:jc w:val="both"/>
        <w:rPr>
          <w:rFonts w:ascii="Times New Roman" w:hAnsi="Times New Roman"/>
          <w:sz w:val="20"/>
        </w:rPr>
      </w:pPr>
      <w:r>
        <w:rPr>
          <w:rFonts w:ascii="Times New Roman;serif" w:hAnsi="Times New Roman;serif"/>
          <w:b w:val="false"/>
          <w:sz w:val="20"/>
        </w:rPr>
        <w:t>Samuel Broder, M.D. has served as a member of our board of directors since April 2019. Prior to his retirement, Dr. Broder was Senior Vice President from 2012 to 2016 and Head of the Health Sector from 2015 to 2016 for Intrexon Corporation, a synthetic biology company. Prior to Intrexon, he served as the Executive Vice President for Medical Affairs and Chief Medical Officer at Celera Corporation from 1998 to 2010. Prior to Celera, Dr. Broder served as Senior Vice President, Research and Development and Chief Scientific Officer at IVAX Corporation from 1995 to 1998. Dr. Broder served as the director of the National Cancer Institute from 1989 to 1995 appointed by President Ronald Reagan, where he oversaw the development of numerous anti-cancer therapeutic agents. Dr. Broder has served as a director of Orion Biotech Opportunities Corp. since 2021. Dr. Broder received a B.S. from University of Michigan and an M.D. from the University of Michigan Medical School, with post-graduate training at Stanford University in Palo Alto. We believe that Dr. Broder’s significant scientific experience with therapeutic agents qualifies him to serve on our board of directors.</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i/>
          <w:sz w:val="20"/>
        </w:rPr>
        <w:t>William Ringo</w:t>
      </w:r>
      <w:r>
        <w:rPr>
          <w:rFonts w:ascii="Times New Roman;serif" w:hAnsi="Times New Roman;serif"/>
          <w:b w:val="false"/>
          <w:i/>
          <w:sz w:val="20"/>
        </w:rPr>
        <w:t>, age 77</w:t>
      </w:r>
    </w:p>
    <w:p>
      <w:pPr>
        <w:pStyle w:val="TextBody"/>
        <w:bidi w:val="0"/>
        <w:spacing w:before="120" w:after="120"/>
        <w:jc w:val="both"/>
        <w:rPr>
          <w:rFonts w:ascii="Times New Roman" w:hAnsi="Times New Roman"/>
          <w:sz w:val="20"/>
        </w:rPr>
      </w:pPr>
      <w:r>
        <w:rPr>
          <w:rFonts w:ascii="Times New Roman;serif" w:hAnsi="Times New Roman;serif"/>
          <w:b w:val="false"/>
          <w:sz w:val="20"/>
        </w:rPr>
        <w:t>William Ringo has served as the chair of our board of directors since March 2022. Mr. Ringo most recently served as Interim Chief Executive Officer of Five Prime Therapeutics, Inc. (Five Prime) from September 2019 until April 2020. From 2010 until 2015, Mr. Ringo was a senior advisor with Barclays Capital, the global investment banking division of Barclays Bank PLC. From 2010 until 2015, Mr. Ringo served as a strategic advisor with Sofinnova Ventures, a life sciences-focused investment firm. Prior to his advisory roles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with Barclays Capital and Sofinnova Ventures, Mr. Ringo served as Senior Vice President of Strategy and Business Development for Pfizer Inc., a biopharmaceutical company, from 2008 until his retirement in 2010. From 2004 to 2006, Mr. Ringo served as President and Chief Executive Officer of Abgenix, Inc., a biotechnology company acquired by Amgen, Inc. His experience in the global pharmaceutical sector also includes nearly 30 years with Lilly. Over the course of his career with Lilly, Mr. Ringo served in numerous executive roles, including Product Group President for oncology and critical care, President of internal medicine products, President of the infectious diseases business unit, and Vice President of sales and marketing for U.S. pharmaceuticals. He also was a member of Lilly’s operating committee. Mr. Ringo has been a director of Assembly Biosciences, Inc. since 2014 and has served as non-executive Chairman of the Board since 2015. In the last five years, Mr. Ringo was formerly a director of Five Prime, Immune Design Corp., Sangamo Biosciences, Inc., Mirati Technologies, Inc. and, prior to its being acquired by Lilly, Dermira, Inc. Mr. Ringo received a B.S. in business administration and an M.B.A. from the University of Dayton. We believe that Mr. Ringo’s significant scientific and board experience qualifies him to serve on our board of directors.</w:t>
      </w:r>
    </w:p>
    <w:p>
      <w:pPr>
        <w:pStyle w:val="TextBody"/>
        <w:bidi w:val="0"/>
        <w:spacing w:before="360" w:after="120"/>
        <w:jc w:val="both"/>
        <w:rPr>
          <w:rFonts w:ascii="Times New Roman" w:hAnsi="Times New Roman"/>
          <w:sz w:val="20"/>
        </w:rPr>
      </w:pPr>
      <w:r>
        <w:rPr>
          <w:rFonts w:ascii="Times New Roman;serif" w:hAnsi="Times New Roman;serif"/>
          <w:b/>
          <w:sz w:val="20"/>
        </w:rPr>
        <w:t>CLASS III DIRECTORS CONTINUING IN OFFICE UNTIL THE 2024 ANNUAL MEETING</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i/>
          <w:sz w:val="20"/>
        </w:rPr>
        <w:t>James Peyer</w:t>
      </w:r>
      <w:r>
        <w:rPr>
          <w:rFonts w:ascii="Times New Roman;serif" w:hAnsi="Times New Roman;serif"/>
          <w:b w:val="false"/>
          <w:i/>
          <w:sz w:val="20"/>
        </w:rPr>
        <w:t>, age 36</w:t>
      </w:r>
    </w:p>
    <w:p>
      <w:pPr>
        <w:pStyle w:val="TextBody"/>
        <w:bidi w:val="0"/>
        <w:spacing w:before="120" w:after="120"/>
        <w:jc w:val="both"/>
        <w:rPr>
          <w:rFonts w:ascii="Times New Roman" w:hAnsi="Times New Roman"/>
          <w:sz w:val="20"/>
        </w:rPr>
      </w:pPr>
      <w:r>
        <w:rPr>
          <w:rFonts w:ascii="Times New Roman;serif" w:hAnsi="Times New Roman;serif"/>
          <w:b w:val="false"/>
          <w:sz w:val="20"/>
        </w:rPr>
        <w:t>James Peyer, Ph.D. has served as a member of our board of directors since January 2020. In September 2019, Dr. Peyer founded Cambrian Biopharma, where he serves as the Chief Executive Officer. In 2018, Dr. Peyer founded Cleara Biotech, a biopharmaceutical company, where he served as Executive Director from February 2018 to June 2019. Dr. Peyer also founded and served as Managing Partner at Apollo Health Ventures GmbH from 2016 until March 2019. Prior to his service at Apollo Ventures, Dr. Peyer served as a consultant at McKinsey &amp; Company from 2015 until 2016. Dr. Peyer received a B.A. in Biology from the University of Chicago and a Ph.D. in Stem Cell Biology at The University of Texas Southwestern Medical Center at Dallas. We believe that Dr. Peyer’s experience in the biopharmaceutical industry, his years of business and leadership experience and expertise qualifies him to serve on our board of directors.</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i/>
          <w:sz w:val="20"/>
        </w:rPr>
        <w:t>Thomas Ricks</w:t>
      </w:r>
      <w:r>
        <w:rPr>
          <w:rFonts w:ascii="Times New Roman;serif" w:hAnsi="Times New Roman;serif"/>
          <w:b w:val="false"/>
          <w:i/>
          <w:sz w:val="20"/>
        </w:rPr>
        <w:t>, age 70</w:t>
      </w:r>
    </w:p>
    <w:p>
      <w:pPr>
        <w:pStyle w:val="TextBody"/>
        <w:bidi w:val="0"/>
        <w:spacing w:before="120" w:after="120"/>
        <w:jc w:val="both"/>
        <w:rPr>
          <w:rFonts w:ascii="Times New Roman" w:hAnsi="Times New Roman"/>
          <w:sz w:val="20"/>
        </w:rPr>
      </w:pPr>
      <w:r>
        <w:rPr>
          <w:rFonts w:ascii="Times New Roman;serif" w:hAnsi="Times New Roman;serif"/>
          <w:b w:val="false"/>
          <w:sz w:val="20"/>
        </w:rPr>
        <w:t>Thomas Ricks has served as a member of our board of directors since 2015. Mr. Ricks served as former Chief Investment Officer of H&amp;S Ventures, LLC, a Forbes 150 family office, from 2001 until his retirement in 2018. Prior to his service, Mr. Ricks served as Chief Executive Officer of The University of Texas Investment Management Company from 1996 to 2001. Mr. Ricks has been a director of Ovintiv, Inc. since 2019 and currently serves as Chair of the Human Resources and Compensation Committee, and on the Corporate Responsibility and Governance Committee. He was a director of Newfield Exploration Company from 1992 to 2019 and most recently served as Chair of its Audit Committee. Mr. Ricks also served on the boards of several privately-held companies; BDM International (acquired by TRW), LifeCell Corporation, and Argus Pharmaceuticals. Mr. Ricks is a former director of the Ocean Institute, and a former member of the Investment Committees for St. David’s Foundation and the University of California – Irvine Foundation. Mr. Ricks received a B.A. in Economics from Trinity College and an M.B.A. from the University of Chicago. We believe Mr. Ricks’ extensive experience as a director of public and private companies in the healthcare industry qualifies him to serve on our board of directors.</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i/>
          <w:sz w:val="20"/>
        </w:rPr>
        <w:t>Jessie English</w:t>
      </w:r>
      <w:r>
        <w:rPr>
          <w:rFonts w:ascii="Times New Roman;serif" w:hAnsi="Times New Roman;serif"/>
          <w:b w:val="false"/>
          <w:i/>
          <w:sz w:val="20"/>
        </w:rPr>
        <w:t>, age 59</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Jessie M. English, Ph.D. has served as a member of our board of directors since April 2021. Dr. English served as the Chief Scientific Officer of Bakx Therapeutics, Inc. from November 2020 to November 2022. Prior to Bakx, Dr. English was the Chief Scientific officer at Tilos Therapeutics, Inc. from June 2018 to November 2019. Prior to that, she was the Vice President and Head of Discovery TIP-IO at EMD Serono, Merck KGaA from 2016 to May 2018. From 2012 to 2016, Dr. English served as the Head of Research at the Belfer Center Dana-Farber Cancer Institute, Harvard Medical School. Earlier in her career, she held various positions in the Department of Oncology Discovery at Schering-Plough Research Institute from 1998 to 2004, held various positions at Pfizer Research Technology Center from 2004 to 2008, was the Senior Director and External Discovery Oncology Lead at Merck Research Laboratories from 2008 to 2010 and was the Vice President, Kinase Biology at ArQule Inc. from 2010 to 2011. Dr. English received a B.S. in Biochemistry from Kansas State University, a Ph.D. in Neurobiology from the University of North Carolina at Chapel Hill and was a Postdoctoral Fellow at the University of Texas Southwestern Medical Center at Dallas. We believe that Dr. English’s significant scientific experience and experience as an executive of life sciences companies qualifies her to serve on our board of directors.</w:t>
      </w:r>
    </w:p>
    <w:p>
      <w:pPr>
        <w:pStyle w:val="TextBody"/>
        <w:bidi w:val="0"/>
        <w:spacing w:before="120" w:after="120"/>
        <w:jc w:val="center"/>
        <w:rPr>
          <w:rFonts w:ascii="Times New Roman" w:hAnsi="Times New Roman"/>
          <w:sz w:val="20"/>
        </w:rPr>
      </w:pPr>
      <w:r>
        <w:rPr>
          <w:rFonts w:ascii="Times New Roman;serif" w:hAnsi="Times New Roman;serif"/>
          <w:b/>
          <w:sz w:val="20"/>
        </w:rPr>
        <w:t>INFORMATION REGARDING THE BOARD OF DIRECTORS AND CORPORATE GOVERNANCE</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INDEPENDENCE OF THE BOARD OF DIRECTORS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all of our directors except for Mr. Celebi, representing eight of our nine directors, are “independent directors” as defined under current rules and regulations of the SEC and the listing standards of the Nasdaq Stock Market. In making these determinations, our Board of Directors considered the current and prior relationships that each non-employee director has with our company and all other facts and circumstances that our Board of Directors deemed relevant in determining their independence. There are no family relationships among any of our directors or executive officers.</w:t>
      </w:r>
    </w:p>
    <w:p>
      <w:pPr>
        <w:pStyle w:val="TextBody"/>
        <w:bidi w:val="0"/>
        <w:spacing w:before="360" w:after="120"/>
        <w:jc w:val="both"/>
        <w:rPr>
          <w:rFonts w:ascii="Times New Roman" w:hAnsi="Times New Roman"/>
          <w:sz w:val="20"/>
        </w:rPr>
      </w:pPr>
      <w:r>
        <w:rPr>
          <w:rFonts w:ascii="Times New Roman;serif" w:hAnsi="Times New Roman;serif"/>
          <w:b/>
          <w:sz w:val="20"/>
        </w:rPr>
        <w:t>BOARD LEADERSHIP STRUCTURE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Board of Directors of the Company has a Chairman, Mr. Ringo, who has authority, among other things, to call and preside over Board meetings, to set meeting agendas and to determine materials to be distributed to the Board. Accordingly, the Board Chairman has substantial ability to shape the work of the Board. We believe that separation of the positions of Board Chairman and Chief Executive Officer reinforces the independence of the Board in its oversight of the business and affairs of the Company. In addition, we believe that having a Board Chairman creates an environment that is more conducive to objective evaluation and oversight of management’s performance, increasing management accountability and improving the ability of the Board to monitor whether management’s actions are in the best interests of the Company and our stockholders. As a result, we believe that having a Board Chairman can enhance the effectiveness of the Board as a whole.</w:t>
      </w:r>
      <w:r>
        <w:rPr>
          <w:rFonts w:ascii="Times New Roman" w:hAnsi="Times New Roman"/>
          <w:sz w:val="20"/>
        </w:rPr>
        <w:t xml:space="preserve"> </w:t>
      </w:r>
    </w:p>
    <w:p>
      <w:pPr>
        <w:pStyle w:val="TextBody"/>
        <w:bidi w:val="0"/>
        <w:spacing w:before="360" w:after="120"/>
        <w:jc w:val="both"/>
        <w:rPr>
          <w:rFonts w:ascii="Times New Roman;serif" w:hAnsi="Times New Roman;serif"/>
          <w:b/>
          <w:sz w:val="20"/>
        </w:rPr>
      </w:pPr>
      <w:r>
        <w:rPr>
          <w:rFonts w:ascii="Times New Roman;serif" w:hAnsi="Times New Roman;serif"/>
          <w:b/>
          <w:sz w:val="20"/>
        </w:rPr>
        <w:t>BOARD DIVERSITY</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table below provides information relating to certain voluntary self-identified characteristics of our directors. Each of the categories listed in the table below has the meaning as set forth in the applicable listing requirements of The Nasdaq Stock Market Rule 5605(f).</w:t>
      </w:r>
    </w:p>
    <w:tbl>
      <w:tblPr>
        <w:tblW w:w="9829" w:type="dxa"/>
        <w:jc w:val="left"/>
        <w:tblInd w:w="0" w:type="dxa"/>
        <w:tblLayout w:type="fixed"/>
        <w:tblCellMar>
          <w:top w:w="28" w:type="dxa"/>
          <w:left w:w="28" w:type="dxa"/>
          <w:bottom w:w="28" w:type="dxa"/>
          <w:right w:w="28" w:type="dxa"/>
        </w:tblCellMar>
      </w:tblPr>
      <w:tblGrid>
        <w:gridCol w:w="5446"/>
        <w:gridCol w:w="211"/>
        <w:gridCol w:w="466"/>
        <w:gridCol w:w="146"/>
        <w:gridCol w:w="631"/>
        <w:gridCol w:w="146"/>
        <w:gridCol w:w="961"/>
        <w:gridCol w:w="146"/>
        <w:gridCol w:w="1676"/>
      </w:tblGrid>
      <w:tr>
        <w:trPr/>
        <w:tc>
          <w:tcPr>
            <w:tcW w:w="5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r>
      <w:tr>
        <w:trPr/>
        <w:tc>
          <w:tcPr>
            <w:tcW w:w="54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6" w:type="dxa"/>
            <w:tcBorders/>
            <w:vAlign w:val="center"/>
          </w:tcPr>
          <w:p>
            <w:pPr>
              <w:pStyle w:val="TableContents"/>
              <w:bidi w:val="0"/>
              <w:spacing w:before="0" w:after="0"/>
              <w:ind w:left="0" w:right="0" w:hanging="0"/>
              <w:jc w:val="left"/>
              <w:rPr/>
            </w:pPr>
            <w:r>
              <w:rPr/>
              <w:t> </w:t>
            </w:r>
          </w:p>
        </w:tc>
      </w:tr>
      <w:tr>
        <w:trPr/>
        <w:tc>
          <w:tcPr>
            <w:tcW w:w="54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Board Diversity Matrix (As of June 15, 2023)</w:t>
            </w:r>
          </w:p>
        </w:tc>
        <w:tc>
          <w:tcPr>
            <w:tcW w:w="2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Board size</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w:t>
            </w:r>
          </w:p>
        </w:tc>
        <w:tc>
          <w:tcPr>
            <w:tcW w:w="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hanging="0"/>
              <w:jc w:val="center"/>
              <w:rPr/>
            </w:pPr>
            <w:r>
              <w:rPr/>
              <w:t> </w:t>
            </w:r>
          </w:p>
        </w:tc>
      </w:tr>
      <w:tr>
        <w:trPr/>
        <w:tc>
          <w:tcPr>
            <w:tcW w:w="54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Gender</w:t>
            </w:r>
          </w:p>
        </w:tc>
        <w:tc>
          <w:tcPr>
            <w:tcW w:w="2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Male</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Female</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Non-Binary</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6" w:type="dxa"/>
            <w:tcBorders>
              <w:bottom w:val="single" w:sz="18" w:space="0" w:color="000000"/>
            </w:tcBorders>
            <w:tcMar>
              <w:top w:w="0" w:type="dxa"/>
              <w:left w:w="0" w:type="dxa"/>
              <w:right w:w="0" w:type="dxa"/>
            </w:tcMar>
            <w:vAlign w:val="center"/>
          </w:tcPr>
          <w:p>
            <w:pPr>
              <w:pStyle w:val="TableContents"/>
              <w:bidi w:val="0"/>
              <w:spacing w:before="0" w:after="0"/>
              <w:ind w:left="0" w:right="0" w:firstLine="100"/>
              <w:jc w:val="center"/>
              <w:rPr>
                <w:rFonts w:ascii="Times New Roman;serif" w:hAnsi="Times New Roman;serif"/>
                <w:b/>
                <w:sz w:val="16"/>
              </w:rPr>
            </w:pPr>
            <w:r>
              <w:rPr>
                <w:rFonts w:ascii="Times New Roman;serif" w:hAnsi="Times New Roman;serif"/>
                <w:b/>
                <w:sz w:val="16"/>
              </w:rPr>
              <w:t>Gender Undisclosed</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Number of directors based on gender identity</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rFonts w:ascii="Times New Roman;serif" w:hAnsi="Times New Roman;serif"/>
                <w:b w:val="false"/>
                <w:sz w:val="20"/>
              </w:rPr>
            </w:pPr>
            <w:r>
              <w:rPr>
                <w:rFonts w:ascii="Times New Roman;serif" w:hAnsi="Times New Roman;serif"/>
                <w:b w:val="false"/>
                <w:sz w:val="20"/>
              </w:rPr>
              <w:t>1</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sz w:val="20"/>
              </w:rPr>
            </w:pPr>
            <w:r>
              <w:rPr>
                <w:rFonts w:ascii="Times New Roman;serif" w:hAnsi="Times New Roman;serif"/>
                <w:b/>
                <w:sz w:val="20"/>
              </w:rPr>
              <w:t>Number of directors who identify in any of the categories below</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African American or Black</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Alaskan Native or American Indian</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Asian</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Native Hawaiian or Pacific Islander</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White</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Two or More Races or Ethnicities</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LGBTQ+</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Undisclosed</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hanging="0"/>
              <w:jc w:val="center"/>
              <w:rPr/>
            </w:pPr>
            <w:r>
              <w:rPr/>
              <w:t> </w:t>
            </w:r>
          </w:p>
        </w:tc>
      </w:tr>
    </w:tbl>
    <w:p>
      <w:pPr>
        <w:pStyle w:val="TextBody"/>
        <w:bidi w:val="0"/>
        <w:spacing w:before="360" w:after="120"/>
        <w:jc w:val="both"/>
        <w:rPr/>
      </w:pPr>
      <w:r>
        <w:rPr/>
        <w:t> </w:t>
      </w:r>
    </w:p>
    <w:tbl>
      <w:tblPr>
        <w:tblW w:w="9829" w:type="dxa"/>
        <w:jc w:val="left"/>
        <w:tblInd w:w="0" w:type="dxa"/>
        <w:tblLayout w:type="fixed"/>
        <w:tblCellMar>
          <w:top w:w="28" w:type="dxa"/>
          <w:left w:w="28" w:type="dxa"/>
          <w:bottom w:w="28" w:type="dxa"/>
          <w:right w:w="28" w:type="dxa"/>
        </w:tblCellMar>
      </w:tblPr>
      <w:tblGrid>
        <w:gridCol w:w="5446"/>
        <w:gridCol w:w="211"/>
        <w:gridCol w:w="466"/>
        <w:gridCol w:w="146"/>
        <w:gridCol w:w="631"/>
        <w:gridCol w:w="146"/>
        <w:gridCol w:w="961"/>
        <w:gridCol w:w="146"/>
        <w:gridCol w:w="1676"/>
      </w:tblGrid>
      <w:tr>
        <w:trPr/>
        <w:tc>
          <w:tcPr>
            <w:tcW w:w="5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r>
      <w:tr>
        <w:trPr/>
        <w:tc>
          <w:tcPr>
            <w:tcW w:w="54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76" w:type="dxa"/>
            <w:tcBorders/>
            <w:vAlign w:val="center"/>
          </w:tcPr>
          <w:p>
            <w:pPr>
              <w:pStyle w:val="TableContents"/>
              <w:bidi w:val="0"/>
              <w:spacing w:before="0" w:after="0"/>
              <w:ind w:left="0" w:right="0" w:hanging="0"/>
              <w:jc w:val="left"/>
              <w:rPr/>
            </w:pPr>
            <w:r>
              <w:rPr/>
              <w:t> </w:t>
            </w:r>
          </w:p>
        </w:tc>
      </w:tr>
      <w:tr>
        <w:trPr/>
        <w:tc>
          <w:tcPr>
            <w:tcW w:w="54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Board Diversity Matrix (As of April 28, 2022)</w:t>
            </w:r>
          </w:p>
        </w:tc>
        <w:tc>
          <w:tcPr>
            <w:tcW w:w="2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Board size</w:t>
            </w:r>
          </w:p>
        </w:tc>
        <w:tc>
          <w:tcPr>
            <w:tcW w:w="21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w:t>
            </w:r>
          </w:p>
        </w:tc>
        <w:tc>
          <w:tcPr>
            <w:tcW w:w="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hanging="0"/>
              <w:jc w:val="center"/>
              <w:rPr/>
            </w:pPr>
            <w:r>
              <w:rPr/>
              <w:t> </w:t>
            </w:r>
          </w:p>
        </w:tc>
      </w:tr>
      <w:tr>
        <w:trPr/>
        <w:tc>
          <w:tcPr>
            <w:tcW w:w="54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Gender</w:t>
            </w:r>
          </w:p>
        </w:tc>
        <w:tc>
          <w:tcPr>
            <w:tcW w:w="2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Male</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Female</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6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Non-Binary</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76" w:type="dxa"/>
            <w:tcBorders>
              <w:bottom w:val="single" w:sz="18" w:space="0" w:color="000000"/>
            </w:tcBorders>
            <w:tcMar>
              <w:top w:w="0" w:type="dxa"/>
              <w:left w:w="0" w:type="dxa"/>
              <w:right w:w="0" w:type="dxa"/>
            </w:tcMar>
            <w:vAlign w:val="center"/>
          </w:tcPr>
          <w:p>
            <w:pPr>
              <w:pStyle w:val="TableContents"/>
              <w:bidi w:val="0"/>
              <w:spacing w:before="0" w:after="0"/>
              <w:ind w:left="0" w:right="0" w:firstLine="100"/>
              <w:jc w:val="center"/>
              <w:rPr>
                <w:rFonts w:ascii="Times New Roman;serif" w:hAnsi="Times New Roman;serif"/>
                <w:b/>
                <w:sz w:val="16"/>
              </w:rPr>
            </w:pPr>
            <w:r>
              <w:rPr>
                <w:rFonts w:ascii="Times New Roman;serif" w:hAnsi="Times New Roman;serif"/>
                <w:b/>
                <w:sz w:val="16"/>
              </w:rPr>
              <w:t>Gender Undisclosed</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Number of directors based on gender identity</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rFonts w:ascii="Times New Roman;serif" w:hAnsi="Times New Roman;serif"/>
                <w:b w:val="false"/>
                <w:sz w:val="20"/>
              </w:rPr>
            </w:pPr>
            <w:r>
              <w:rPr>
                <w:rFonts w:ascii="Times New Roman;serif" w:hAnsi="Times New Roman;serif"/>
                <w:b w:val="false"/>
                <w:sz w:val="20"/>
              </w:rPr>
              <w:t>1</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sz w:val="20"/>
              </w:rPr>
            </w:pPr>
            <w:r>
              <w:rPr>
                <w:rFonts w:ascii="Times New Roman;serif" w:hAnsi="Times New Roman;serif"/>
                <w:b/>
                <w:sz w:val="20"/>
              </w:rPr>
              <w:t>Number of directors who identify in any of the categories below</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African American or Black</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Alaskan Native or American Indian</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Asian</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Native Hawaiian or Pacific Islander</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White</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Two or More Races or Ethnicities</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LGBTQ+</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firstLine="100"/>
              <w:jc w:val="center"/>
              <w:rPr/>
            </w:pPr>
            <w:r>
              <w:rPr/>
              <w:t> </w:t>
            </w:r>
          </w:p>
        </w:tc>
      </w:tr>
      <w:tr>
        <w:trPr/>
        <w:tc>
          <w:tcPr>
            <w:tcW w:w="5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Undisclosed</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76" w:type="dxa"/>
            <w:tcBorders/>
            <w:vAlign w:val="center"/>
          </w:tcPr>
          <w:p>
            <w:pPr>
              <w:pStyle w:val="TableContents"/>
              <w:bidi w:val="0"/>
              <w:spacing w:before="0" w:after="0"/>
              <w:ind w:left="0" w:right="0" w:hanging="0"/>
              <w:jc w:val="center"/>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20"/>
        <w:jc w:val="both"/>
        <w:rPr>
          <w:rFonts w:ascii="Times New Roman" w:hAnsi="Times New Roman"/>
          <w:sz w:val="20"/>
        </w:rPr>
      </w:pPr>
      <w:r>
        <w:rPr>
          <w:rFonts w:ascii="Times New Roman;serif" w:hAnsi="Times New Roman;serif"/>
          <w:b/>
          <w:sz w:val="20"/>
        </w:rPr>
        <w:t>ROLE OF THE BOARD IN RISK OVERSIGHT</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Risk is inherent with every business, and we face a number of risks, including strategic, financial, business and operational, legal and compliance, cybersecurity and reputational. 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It is the responsibility of the committee chairs to report findings regarding material risk exposures to the Board as quickly as possible. The Board Chairman coordinates between the Board and management with regard to the determination and implementation of responses to any problematic risk management issues.</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MEETINGS OF THE BOARD OF DIRECTORS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Board of Directors met seven</w:t>
      </w:r>
      <w:r>
        <w:rPr>
          <w:rFonts w:ascii="Times New Roman" w:hAnsi="Times New Roman"/>
          <w:sz w:val="20"/>
        </w:rPr>
        <w:t xml:space="preserve"> </w:t>
      </w:r>
      <w:r>
        <w:rPr>
          <w:rFonts w:ascii="Times New Roman;serif" w:hAnsi="Times New Roman;serif"/>
          <w:b w:val="false"/>
          <w:sz w:val="20"/>
        </w:rPr>
        <w:t>times during the last fiscal year. Each Board member attended 75% or more of the aggregate number of meetings of the Board and of the audit, compensation and nominating and corporate governance committees on which he or she served, held during the portion of the last fiscal year for which he or she</w:t>
      </w:r>
      <w:r>
        <w:rPr>
          <w:rFonts w:ascii="Times New Roman" w:hAnsi="Times New Roman"/>
          <w:sz w:val="20"/>
        </w:rPr>
        <w:t xml:space="preserve"> </w:t>
      </w:r>
      <w:r>
        <w:rPr>
          <w:rFonts w:ascii="Times New Roman;serif" w:hAnsi="Times New Roman;serif"/>
          <w:b w:val="false"/>
          <w:sz w:val="20"/>
        </w:rPr>
        <w:t>was a director or committee member.</w:t>
      </w:r>
    </w:p>
    <w:p>
      <w:pPr>
        <w:pStyle w:val="TextBody"/>
        <w:bidi w:val="0"/>
        <w:spacing w:before="120" w:after="120"/>
        <w:jc w:val="both"/>
        <w:rPr>
          <w:rFonts w:ascii="Times New Roman" w:hAnsi="Times New Roman"/>
          <w:sz w:val="20"/>
        </w:rPr>
      </w:pPr>
      <w:r>
        <w:rPr>
          <w:rFonts w:ascii="Times New Roman;serif" w:hAnsi="Times New Roman;serif"/>
          <w:b w:val="false"/>
          <w:sz w:val="20"/>
        </w:rPr>
        <w:t>As required under applicable Nasdaq listing standards, during the last fiscal year, the Company’s independent directors met four times in regularly scheduled executive sessions at which only independent directors were present.</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INFORMATION REGARDING COMMITTEES OF THE BOARD OF DIRECTORS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Board has four committees:</w:t>
      </w:r>
      <w:r>
        <w:rPr>
          <w:rFonts w:ascii="Times New Roman" w:hAnsi="Times New Roman"/>
          <w:sz w:val="20"/>
        </w:rPr>
        <w:t xml:space="preserve"> </w:t>
      </w:r>
      <w:r>
        <w:rPr>
          <w:rFonts w:ascii="Times New Roman;serif" w:hAnsi="Times New Roman;serif"/>
          <w:b w:val="false"/>
          <w:sz w:val="20"/>
        </w:rPr>
        <w:t>an Audit Committee, a Compensation Committee, a Nominating and Corporate Governance Committee and a Science and Technology Committee. The following table provides membership and the number of meetings for the year ended December 31, 2022 for each of the Board committees: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2093"/>
        <w:gridCol w:w="146"/>
        <w:gridCol w:w="146"/>
        <w:gridCol w:w="511"/>
        <w:gridCol w:w="741"/>
        <w:gridCol w:w="146"/>
        <w:gridCol w:w="211"/>
        <w:gridCol w:w="146"/>
        <w:gridCol w:w="466"/>
        <w:gridCol w:w="675"/>
        <w:gridCol w:w="146"/>
        <w:gridCol w:w="211"/>
        <w:gridCol w:w="146"/>
        <w:gridCol w:w="496"/>
        <w:gridCol w:w="717"/>
        <w:gridCol w:w="146"/>
        <w:gridCol w:w="211"/>
        <w:gridCol w:w="146"/>
        <w:gridCol w:w="938"/>
        <w:gridCol w:w="1361"/>
        <w:gridCol w:w="146"/>
        <w:gridCol w:w="260"/>
      </w:tblGrid>
      <w:tr>
        <w:trPr/>
        <w:tc>
          <w:tcPr>
            <w:tcW w:w="2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09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Audit Committee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Compensation</w:t>
              <w:br/>
              <w:t>Committee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Nominating and</w:t>
              <w:br/>
              <w:t>Corporate</w:t>
              <w:br/>
              <w:t>Governance</w:t>
              <w:br/>
              <w:t>Committee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2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Science and Technology Committee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60" w:type="dxa"/>
            <w:tcBorders/>
            <w:vAlign w:val="center"/>
          </w:tcPr>
          <w:p>
            <w:pPr>
              <w:pStyle w:val="TableContents"/>
              <w:bidi w:val="0"/>
              <w:spacing w:before="0" w:after="0"/>
              <w:ind w:left="0" w:right="0" w:hanging="0"/>
              <w:jc w:val="center"/>
              <w:rPr/>
            </w:pPr>
            <w:r>
              <w:rPr/>
              <w:t> </w:t>
            </w:r>
          </w:p>
        </w:tc>
      </w:tr>
      <w:tr>
        <w:trPr/>
        <w:tc>
          <w:tcPr>
            <w:tcW w:w="20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John Celebi</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3"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0" w:type="dxa"/>
            <w:tcBorders/>
            <w:vAlign w:val="center"/>
          </w:tcPr>
          <w:p>
            <w:pPr>
              <w:pStyle w:val="TableContents"/>
              <w:bidi w:val="0"/>
              <w:spacing w:before="0" w:after="0"/>
              <w:ind w:left="0" w:right="0" w:hanging="0"/>
              <w:jc w:val="center"/>
              <w:rPr/>
            </w:pPr>
            <w:r>
              <w:rPr/>
              <w:t> </w:t>
            </w:r>
          </w:p>
        </w:tc>
      </w:tr>
      <w:tr>
        <w:trPr/>
        <w:tc>
          <w:tcPr>
            <w:tcW w:w="20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William Ringo (1)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1"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13"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29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right"/>
              <w:rPr/>
            </w:pPr>
            <w:r>
              <w:rPr/>
              <w:t> </w:t>
            </w:r>
          </w:p>
        </w:tc>
      </w:tr>
      <w:tr>
        <w:trPr/>
        <w:tc>
          <w:tcPr>
            <w:tcW w:w="20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Bob Holmen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1"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21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29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right"/>
              <w:rPr/>
            </w:pPr>
            <w:r>
              <w:rPr/>
              <w:t> </w:t>
            </w:r>
          </w:p>
        </w:tc>
      </w:tr>
      <w:tr>
        <w:trPr/>
        <w:tc>
          <w:tcPr>
            <w:tcW w:w="20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James Peyer, Ph.D.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1"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13"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299"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right"/>
              <w:rPr/>
            </w:pPr>
            <w:r>
              <w:rPr/>
              <w:t> </w:t>
            </w:r>
          </w:p>
        </w:tc>
      </w:tr>
      <w:tr>
        <w:trPr/>
        <w:tc>
          <w:tcPr>
            <w:tcW w:w="20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Samuel Broder, M.D.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13"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99"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right"/>
              <w:rPr/>
            </w:pPr>
            <w:r>
              <w:rPr/>
              <w:t> </w:t>
            </w:r>
          </w:p>
        </w:tc>
      </w:tr>
      <w:tr>
        <w:trPr/>
        <w:tc>
          <w:tcPr>
            <w:tcW w:w="20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Thomas Ricks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141"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1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29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right"/>
              <w:rPr/>
            </w:pPr>
            <w:r>
              <w:rPr/>
              <w:t> </w:t>
            </w:r>
          </w:p>
        </w:tc>
      </w:tr>
      <w:tr>
        <w:trPr/>
        <w:tc>
          <w:tcPr>
            <w:tcW w:w="20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Deneen Vojta, M.D.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1"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13"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299"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right"/>
              <w:rPr/>
            </w:pPr>
            <w:r>
              <w:rPr/>
              <w:t> </w:t>
            </w:r>
          </w:p>
        </w:tc>
      </w:tr>
      <w:tr>
        <w:trPr/>
        <w:tc>
          <w:tcPr>
            <w:tcW w:w="20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Jessie English, Ph.D.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13"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299"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20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Kristian Humer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5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X</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1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29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60" w:type="dxa"/>
            <w:tcBorders/>
            <w:vAlign w:val="center"/>
          </w:tcPr>
          <w:p>
            <w:pPr>
              <w:pStyle w:val="TableContents"/>
              <w:bidi w:val="0"/>
              <w:spacing w:before="0" w:after="0"/>
              <w:ind w:left="0" w:right="0" w:hanging="0"/>
              <w:jc w:val="right"/>
              <w:rPr/>
            </w:pPr>
            <w:r>
              <w:rPr/>
              <w:t> </w:t>
            </w:r>
          </w:p>
        </w:tc>
      </w:tr>
      <w:tr>
        <w:trPr/>
        <w:tc>
          <w:tcPr>
            <w:tcW w:w="20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Number of meetings in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8" w:type="dxa"/>
            <w:tcBorders/>
            <w:vAlign w:val="center"/>
          </w:tcPr>
          <w:p>
            <w:pPr>
              <w:pStyle w:val="TableContents"/>
              <w:bidi w:val="0"/>
              <w:spacing w:before="0" w:after="0"/>
              <w:ind w:left="0" w:right="0" w:hanging="0"/>
              <w:jc w:val="left"/>
              <w:rPr/>
            </w:pPr>
            <w:r>
              <w:rPr/>
              <w:t> </w:t>
            </w:r>
          </w:p>
        </w:tc>
        <w:tc>
          <w:tcPr>
            <w:tcW w:w="1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r>
    </w:tbl>
    <w:p>
      <w:pPr>
        <w:pStyle w:val="TextBody"/>
        <w:bidi w:val="0"/>
        <w:spacing w:before="120" w:after="120"/>
        <w:jc w:val="both"/>
        <w:rPr>
          <w:rFonts w:ascii="Times New Roman" w:hAnsi="Times New Roman"/>
          <w:sz w:val="20"/>
        </w:rPr>
      </w:pPr>
      <w:r>
        <w:rPr>
          <w:rFonts w:ascii="Times New Roman;serif" w:hAnsi="Times New Roman;serif"/>
          <w:b w:val="false"/>
          <w:sz w:val="20"/>
        </w:rPr>
        <w:t>* Committee chair.</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(1) Mr. Ringo was appointed as a member of the Compensation Committee and Nominating and Corporate Governance Committee in connection with his appointment to the Board in March 2022.</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Below is a description of each committee of the Board of Directors. Each of the committees has authority to engage legal counsel or other experts or consultants, as it deems appropriate to carry out its responsibilities. The Board of Directors has determined that each current member of each committee meets the applicable Nasdaq rules and regulations regarding “independence” and each current member is free of any relationship that would impair his or her individual exercise of independent judgment with regard to the Company.</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Audit Committee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Audit Committee of the Board of Directors was established by the Board in accordance with Section 3(a)(58)(A) of the Exchange Act to oversee the Company’s corporate accounting, disclosure controls and procedures and financial reporting processes and audits of its financial statements. The Audit Committee is currently composed of three directors: Thomas Ricks, Kristian Humer and Bob Holmen.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20"/>
        </w:rPr>
        <w:t>Thomas Ricks serves as the Chair of the Audit Committee. The Audit Committee met four times during 2022. The Board has adopted a written Audit Committee charter that is available to stockholders on our website at www.senseibio.com.</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Board of Directors reviews the Nasdaq listing standards definition of independence for Audit Committee members on an annual basis and has determined that all members of our Audit Committee are independent, as independence is currently defined in Rule 5605(c)(2)(A)(i) and (ii) of the Nasdaq listing standards. The Board of Directors has also determined that Mr. Ricks qualifies as an “audit committee financial expert,” as defined in applicable SEC rules. The Board made a qualitative assessment of Mr. Ricks’ level of knowledge and experience based on a number of factors, including his formal education and experience as a chief financial officer for public reporting companies.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principal duties and responsibilities of our Audit Committee include:</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evaluating the performance, independence and qualifications of our independent auditors and determining whether to retain our existing independent auditors or engage new independent auditors;</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reviewing and approving the engagement of our independent auditors to perform audit services and any permissible non-audit services;</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reviewing related party transactions;</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establishing procedures for the receipt, retention and treatment of complaints received by us regarding financial controls, accounting or auditing matters and other matter;</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reviewing our annual and quarterly financial statements and reports, including the disclosures contained under the caption “Management’s Discussion and Analysis of Financial Condition and Results of Operations,” and discussing the statements and reports with our independent auditors and management;</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establishing procedures for the receipt, retention and treatment of complaints received by us regarding financial controls, accounting or auditing matters and other matters;</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reviewing with our independent auditors and management significant issues that arise regarding accounting principles and financial statement presentation and matters concerning the scope, adequacy and effectiveness of our financial controls; and</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reviewing and evaluating on an annual basis the performance of the Audit Committee and the Audit Committee charter.</w:t>
            </w:r>
            <w:r>
              <w:rPr>
                <w:rFonts w:ascii="Times New Roman" w:hAnsi="Times New Roman"/>
                <w:sz w:val="20"/>
              </w:rPr>
              <w:t xml:space="preserve"> </w:t>
            </w:r>
          </w:p>
        </w:tc>
      </w:tr>
    </w:tbl>
    <w:p>
      <w:pPr>
        <w:pStyle w:val="TextBody"/>
        <w:bidi w:val="0"/>
        <w:spacing w:before="360" w:after="120"/>
        <w:jc w:val="both"/>
        <w:rPr>
          <w:rFonts w:ascii="Times New Roman" w:hAnsi="Times New Roman"/>
          <w:sz w:val="20"/>
        </w:rPr>
      </w:pPr>
      <w:r>
        <w:rPr>
          <w:rFonts w:ascii="Times New Roman;serif" w:hAnsi="Times New Roman;serif"/>
          <w:b/>
          <w:sz w:val="20"/>
        </w:rPr>
        <w:t>Report of the Audit Committee of the Board of Directors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 xml:space="preserve">The Audit Committee has reviewed and discussed the audited financial statements for the year ended December 31, 2022 with management of the Company. The Audit Committee has discussed with the independent registered public accounting firm the matters required to be discussed by Auditing Standard No. 1301, </w:t>
      </w:r>
      <w:r>
        <w:rPr>
          <w:rFonts w:ascii="Times New Roman;serif" w:hAnsi="Times New Roman;serif"/>
          <w:b w:val="false"/>
          <w:i/>
          <w:sz w:val="20"/>
        </w:rPr>
        <w:t xml:space="preserve">Communications with Audit Committees, </w:t>
      </w:r>
      <w:r>
        <w:rPr>
          <w:rFonts w:ascii="Times New Roman;serif" w:hAnsi="Times New Roman;serif"/>
          <w:b w:val="false"/>
          <w:sz w:val="20"/>
        </w:rPr>
        <w:t>as adopted by the Public Company Accounting Oversight Board (“PCAOB”).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the Company’s Annual Report on Form 10-K for the fiscal year ended December 31, 2022.</w:t>
      </w:r>
    </w:p>
    <w:p>
      <w:pPr>
        <w:pStyle w:val="TextBody"/>
        <w:bidi w:val="0"/>
        <w:spacing w:before="120" w:after="120"/>
        <w:jc w:val="both"/>
        <w:rPr>
          <w:rFonts w:ascii="Times New Roman" w:hAnsi="Times New Roman"/>
          <w:sz w:val="20"/>
        </w:rPr>
      </w:pPr>
      <w:r>
        <w:rPr>
          <w:rFonts w:ascii="Times New Roman;serif" w:hAnsi="Times New Roman;serif"/>
          <w:b w:val="false"/>
          <w:sz w:val="20"/>
        </w:rPr>
        <w:t>Thomas Ricks, Chair</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Kristian Humer</w:t>
      </w:r>
    </w:p>
    <w:p>
      <w:pPr>
        <w:pStyle w:val="TextBody"/>
        <w:bidi w:val="0"/>
        <w:spacing w:before="120" w:after="120"/>
        <w:jc w:val="both"/>
        <w:rPr>
          <w:rFonts w:ascii="Times New Roman" w:hAnsi="Times New Roman"/>
          <w:sz w:val="20"/>
        </w:rPr>
      </w:pPr>
      <w:r>
        <w:rPr>
          <w:rFonts w:ascii="Times New Roman;serif" w:hAnsi="Times New Roman;serif"/>
          <w:b w:val="false"/>
          <w:sz w:val="20"/>
        </w:rPr>
        <w:t>Bob Holmen</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 xml:space="preserve">* </w:t>
      </w:r>
      <w:r>
        <w:rPr>
          <w:rFonts w:ascii="Times New Roman;serif" w:hAnsi="Times New Roman;serif"/>
          <w:b w:val="false"/>
          <w:i/>
          <w:sz w:val="20"/>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Compensation Committee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Compensation Committee is composed of five</w:t>
      </w:r>
      <w:r>
        <w:rPr>
          <w:rFonts w:ascii="Times New Roman" w:hAnsi="Times New Roman"/>
          <w:sz w:val="20"/>
        </w:rPr>
        <w:t xml:space="preserve"> </w:t>
      </w:r>
      <w:r>
        <w:rPr>
          <w:rFonts w:ascii="Times New Roman;serif" w:hAnsi="Times New Roman;serif"/>
          <w:b w:val="false"/>
          <w:sz w:val="20"/>
        </w:rPr>
        <w:t>directors: Messrs. Ringo, Ricks and Holmen, and Drs. Peyer and Vojta. Mr. Holmen serves as the Chair of the Compensation Committee. Each of the committee members are non-employee directors, as defined in Rule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20"/>
        </w:rPr>
        <w:t>16b-3 promulgated under the Exchange Act and are “outside directors,” as defined pursuant to Section 162(m) of the Internal Revenue Code of 1986, as amended (the “Code”). Our Board of Directors has determined that each of the committee members are “independent” as defined under the applicable Nasdaq listing standards, including the standards specific to members of a compensation committee. The Compensation Committee met five times during 2022. The Board has adopted a written Compensation Committee charter that is available to stockholders on our website at www.senseibio.com.</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principal duties and responsibilities of our Compensation Committee include:</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reviewing and making recommendations to the full Board of Directors regarding the type and amount of compensation to be paid or awarded to our non-employee board members;</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setting the compensation and other terms of employment of our Chief Executive Officer and our other executive officers;</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reviewing, modifying and approving (or if it deems appropriate, making recommendations to the full Board of Directors regarding) our overall compensation strategy and policies;</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 and</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reviewing and evaluating on an annual basis the performance of the Compensation Committee and the Compensation Committee charter.</w:t>
            </w:r>
            <w:r>
              <w:rPr>
                <w:rFonts w:ascii="Times New Roman" w:hAnsi="Times New Roman"/>
                <w:sz w:val="20"/>
              </w:rPr>
              <w:t xml:space="preserve"> </w:t>
            </w:r>
          </w:p>
        </w:tc>
      </w:tr>
    </w:tbl>
    <w:p>
      <w:pPr>
        <w:pStyle w:val="TextBody"/>
        <w:bidi w:val="0"/>
        <w:spacing w:before="240" w:after="120"/>
        <w:jc w:val="both"/>
        <w:rPr>
          <w:rFonts w:ascii="Times New Roman" w:hAnsi="Times New Roman"/>
          <w:sz w:val="20"/>
        </w:rPr>
      </w:pPr>
      <w:r>
        <w:rPr>
          <w:rFonts w:ascii="Times New Roman;serif" w:hAnsi="Times New Roman;serif"/>
          <w:b w:val="false"/>
          <w:i/>
          <w:sz w:val="20"/>
        </w:rPr>
        <w:t>Compensation Committee Processes and Procedures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Typically, the Compensation Committee meets an average of once every quarter</w:t>
      </w:r>
      <w:r>
        <w:rPr>
          <w:rFonts w:ascii="Times New Roman" w:hAnsi="Times New Roman"/>
          <w:sz w:val="20"/>
        </w:rPr>
        <w:t xml:space="preserve"> </w:t>
      </w:r>
      <w:r>
        <w:rPr>
          <w:rFonts w:ascii="Times New Roman;serif" w:hAnsi="Times New Roman;serif"/>
          <w:b w:val="false"/>
          <w:sz w:val="20"/>
        </w:rPr>
        <w:t>and with greater frequency if necessary. The agenda for each meeting is usually developed by the Chair of the Compensation Committee, in consultation with our Chief Executive Officer.</w:t>
      </w:r>
      <w:r>
        <w:rPr>
          <w:rFonts w:ascii="Times New Roman" w:hAnsi="Times New Roman"/>
          <w:sz w:val="20"/>
        </w:rPr>
        <w:t xml:space="preserve"> </w:t>
      </w:r>
      <w:r>
        <w:rPr>
          <w:rFonts w:ascii="Times New Roman;serif" w:hAnsi="Times New Roman;serif"/>
          <w:b w:val="false"/>
          <w:sz w:val="20"/>
        </w:rPr>
        <w:t>The Compensation Committee meets regularly in executive session. However, from time to time, various members of management and other employees as well as outside advisors or consultants</w:t>
      </w:r>
      <w:r>
        <w:rPr>
          <w:rFonts w:ascii="Times New Roman" w:hAnsi="Times New Roman"/>
          <w:sz w:val="20"/>
        </w:rPr>
        <w:t xml:space="preserve"> </w:t>
      </w:r>
      <w:r>
        <w:rPr>
          <w:rFonts w:ascii="Times New Roman;serif" w:hAnsi="Times New Roman;serif"/>
          <w:b w:val="false"/>
          <w:sz w:val="20"/>
        </w:rPr>
        <w:t>may be invited by the Compensation Committee to make</w:t>
      </w:r>
      <w:r>
        <w:rPr>
          <w:rFonts w:ascii="Times New Roman" w:hAnsi="Times New Roman"/>
          <w:sz w:val="20"/>
        </w:rPr>
        <w:t xml:space="preserve"> </w:t>
      </w:r>
      <w:r>
        <w:rPr>
          <w:rFonts w:ascii="Times New Roman;serif" w:hAnsi="Times New Roman;serif"/>
          <w:b w:val="false"/>
          <w:sz w:val="20"/>
        </w:rPr>
        <w:t>presentations, to provide financial or other</w:t>
      </w:r>
      <w:r>
        <w:rPr>
          <w:rFonts w:ascii="Times New Roman" w:hAnsi="Times New Roman"/>
          <w:sz w:val="20"/>
        </w:rPr>
        <w:t xml:space="preserve"> </w:t>
      </w:r>
      <w:r>
        <w:rPr>
          <w:rFonts w:ascii="Times New Roman;serif" w:hAnsi="Times New Roman;serif"/>
          <w:b w:val="false"/>
          <w:sz w:val="20"/>
        </w:rPr>
        <w:t>background information or advice or to otherwise participate in Compensation Committee meetings. Our Compensation Committee typically reviews and discusses management’s proposed compensation with the Chief Executive Officer for all executives other than the Chief Executive Officer.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w:t>
      </w:r>
      <w:r>
        <w:rPr>
          <w:rFonts w:ascii="Times New Roman" w:hAnsi="Times New Roman"/>
          <w:sz w:val="20"/>
        </w:rPr>
        <w:t xml:space="preserve"> </w:t>
      </w:r>
      <w:r>
        <w:rPr>
          <w:rFonts w:ascii="Times New Roman;serif" w:hAnsi="Times New Roman;serif"/>
          <w:b w:val="false"/>
          <w:sz w:val="20"/>
        </w:rPr>
        <w:t>executive</w:t>
      </w:r>
      <w:r>
        <w:rPr>
          <w:rFonts w:ascii="Times New Roman" w:hAnsi="Times New Roman"/>
          <w:sz w:val="20"/>
        </w:rPr>
        <w:t xml:space="preserve"> </w:t>
      </w:r>
      <w:r>
        <w:rPr>
          <w:rFonts w:ascii="Times New Roman;serif" w:hAnsi="Times New Roman;serif"/>
          <w:b w:val="false"/>
          <w:sz w:val="20"/>
        </w:rPr>
        <w:t>and director compensation, including the authority to approve the consultant’s reasonable fees and other retention terms. Under the charter, the Compensation Committee may select, or receive advice from, a compensation consultant, independent legal counsel or other adviser to the Compensation Committee, other than in-house legal counsel and certain other types of advisers, only after taking into consideration six factors, prescribed by the SEC and Nasdaq, that bear upon the adviser’s independence.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During the past fiscal year,</w:t>
      </w:r>
      <w:r>
        <w:rPr>
          <w:rFonts w:ascii="Times New Roman" w:hAnsi="Times New Roman"/>
          <w:sz w:val="20"/>
        </w:rPr>
        <w:t xml:space="preserve"> </w:t>
      </w:r>
      <w:r>
        <w:rPr>
          <w:rFonts w:ascii="Times New Roman;serif" w:hAnsi="Times New Roman;serif"/>
          <w:b w:val="false"/>
          <w:sz w:val="20"/>
        </w:rPr>
        <w:t>after taking into consideration the six factors prescribed by the SEC and Nasdaq described above, the Compensation Committee engaged the Human Capital Solutions (HCS) Practice of Aon Corporation (formerly named) as compensation consultants.</w:t>
      </w:r>
      <w:r>
        <w:rPr>
          <w:rFonts w:ascii="Times New Roman" w:hAnsi="Times New Roman"/>
          <w:sz w:val="20"/>
        </w:rPr>
        <w:t xml:space="preserve"> </w:t>
      </w:r>
      <w:r>
        <w:rPr>
          <w:rFonts w:ascii="Times New Roman;serif" w:hAnsi="Times New Roman;serif"/>
          <w:b w:val="false"/>
          <w:sz w:val="20"/>
        </w:rPr>
        <w:t>Our Compensation Committee identified Radford based on HCS’s general reputation in the industry. The Compensation Committee requested that HCS: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124"/>
        <w:gridCol w:w="256"/>
        <w:gridCol w:w="109"/>
        <w:gridCol w:w="9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120" w:after="12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16"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assist in providing competitive compensation data for all of the Company’s executive positions;</w:t>
            </w:r>
            <w:r>
              <w:rPr>
                <w:rFonts w:ascii="Times New Roman" w:hAnsi="Times New Roman"/>
                <w:sz w:val="20"/>
              </w:rPr>
              <w:t xml:space="preserve"> </w:t>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120" w:after="12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16"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assess the degree to which the Company’s current compensation strategy and practices aligns with market practices for all of the Company’s executive positions;</w:t>
            </w:r>
            <w:r>
              <w:rPr>
                <w:rFonts w:ascii="Times New Roman" w:hAnsi="Times New Roman"/>
                <w:sz w:val="20"/>
              </w:rPr>
              <w:t xml:space="preserve"> </w:t>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120" w:after="12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16"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review all elements of pay including base salary, short-term incentives, total cash compensation, long-term incentives, pay mix, ownership levels and equity retention for all of the Company’s executive positions; and</w:t>
            </w:r>
            <w:r>
              <w:rPr>
                <w:rFonts w:ascii="Times New Roman" w:hAnsi="Times New Roman"/>
                <w:sz w:val="20"/>
              </w:rPr>
              <w:t xml:space="preserve"> </w:t>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120" w:after="120"/>
              <w:ind w:left="0" w:right="0" w:hanging="0"/>
              <w:jc w:val="left"/>
              <w:rPr/>
            </w:pPr>
            <w:r>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16"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serif" w:hAnsi="Times New Roman;serif"/>
                <w:b w:val="false"/>
                <w:sz w:val="20"/>
              </w:rPr>
            </w:pPr>
            <w:r>
              <w:rPr>
                <w:rFonts w:ascii="Times New Roman;serif" w:hAnsi="Times New Roman;serif"/>
                <w:b w:val="false"/>
                <w:sz w:val="20"/>
              </w:rPr>
              <w:t>propose go-forward changes relating to executive cash and equity compensation.</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20"/>
        <w:jc w:val="left"/>
        <w:rPr>
          <w:rFonts w:ascii="Times New Roman" w:hAnsi="Times New Roman"/>
          <w:sz w:val="20"/>
        </w:rPr>
      </w:pPr>
      <w:r>
        <w:rPr>
          <w:rFonts w:ascii="Times New Roman;serif" w:hAnsi="Times New Roman;serif"/>
          <w:b/>
          <w:sz w:val="20"/>
        </w:rPr>
        <w:t>Nominating and Corporate Governance Committee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Nominating and Corporate Governance Committee</w:t>
      </w:r>
      <w:r>
        <w:rPr>
          <w:rFonts w:ascii="Times New Roman" w:hAnsi="Times New Roman"/>
          <w:sz w:val="20"/>
        </w:rPr>
        <w:t xml:space="preserve"> </w:t>
      </w:r>
      <w:r>
        <w:rPr>
          <w:rFonts w:ascii="Times New Roman;serif" w:hAnsi="Times New Roman;serif"/>
          <w:b w:val="false"/>
          <w:sz w:val="20"/>
        </w:rPr>
        <w:t>is composed of five directors: Mr. Ringo and Drs. Broder, Vojta, Peyer and English. Dr. Broder serves as the Chair of the Nominating and Corporate Governance Committee.</w:t>
      </w:r>
      <w:r>
        <w:rPr>
          <w:rFonts w:ascii="Times New Roman" w:hAnsi="Times New Roman"/>
          <w:sz w:val="20"/>
        </w:rPr>
        <w:t xml:space="preserve"> </w:t>
      </w:r>
      <w:r>
        <w:rPr>
          <w:rFonts w:ascii="Times New Roman;serif" w:hAnsi="Times New Roman;serif"/>
          <w:b w:val="false"/>
          <w:sz w:val="20"/>
        </w:rPr>
        <w:t>All members of the Nominating and Corporate Governance Committee are independent (as independence is currently defined in Rule 5605(a)(2) of the Nasdaq listing standards). The Nominating and Corporate Governance Committee met twice during 2022. The Board has adopted a written Nominating and Corporate Governance Committee charter that is available to stockholders on the Company’s website at www.senseibio.com.</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Nominating and Corporate Governance Committee’s responsibilities include:</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identifying, reviewing, evaluating and recommending candidates to serve on our Board of Directors;</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determining the minimum qualifications for service on our Board of Directors;</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evaluating director performance on the Board of Directors and applicable committees of the board and determining whether continued service on our board is appropriate;</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evaluating nominations by stockholders of candidates for election to our Board of Directors;</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considering and assessing the independence of members of our Board of Directors;</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evaluating our set of corporate governance policies and principles and recommending to our Board of Directors any changes to such policies and principles;</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reviewing and making recommendations to the Board of Directors with respect to management succession planning;</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considering questions of possible conflicts of interest of directors as such questions arise; and</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both"/>
              <w:rPr>
                <w:rFonts w:ascii="Times New Roman" w:hAnsi="Times New Roman"/>
                <w:sz w:val="20"/>
              </w:rPr>
            </w:pPr>
            <w:r>
              <w:rPr>
                <w:rFonts w:ascii="Times New Roman;serif" w:hAnsi="Times New Roman;serif"/>
                <w:b w:val="false"/>
                <w:sz w:val="20"/>
              </w:rPr>
              <w:t>reviewing and evaluating on an annual basis the performance of the Nominating and Corporate Governance Committee and the Nominating and Corporate Governance Committee charter.</w:t>
            </w:r>
            <w:r>
              <w:rPr>
                <w:rFonts w:ascii="Times New Roman" w:hAnsi="Times New Roman"/>
                <w:sz w:val="20"/>
              </w:rPr>
              <w:t xml:space="preserve"> </w:t>
            </w:r>
          </w:p>
        </w:tc>
      </w:tr>
    </w:tbl>
    <w:p>
      <w:pPr>
        <w:pStyle w:val="TextBody"/>
        <w:bidi w:val="0"/>
        <w:spacing w:before="120" w:after="120"/>
        <w:jc w:val="both"/>
        <w:rPr>
          <w:rFonts w:ascii="Times New Roman" w:hAnsi="Times New Roman"/>
          <w:sz w:val="20"/>
        </w:rPr>
      </w:pPr>
      <w:r>
        <w:rPr>
          <w:rFonts w:ascii="Times New Roman;serif" w:hAnsi="Times New Roman;serif"/>
          <w:b w:val="false"/>
          <w:sz w:val="20"/>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Diversity is one of a number of factors, however, that the committee takes into account in identifying nominees, and the Nominating and Corporate Governance Committee believes that it is essential that the board members represent diverse viewpoints. To accomplish the Board’s diversity objectives, the Nominating and Governance Committee may retain an executive search firm to help identify potential directors that meet these objectives.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w:t>
      </w:r>
      <w:r>
        <w:rPr>
          <w:rFonts w:ascii="Times New Roman" w:hAnsi="Times New Roman"/>
          <w:sz w:val="20"/>
        </w:rPr>
        <w:t xml:space="preserve"> </w:t>
      </w:r>
      <w:r>
        <w:rPr>
          <w:rFonts w:ascii="Times New Roman;serif" w:hAnsi="Times New Roman;serif"/>
          <w:b w:val="false"/>
          <w:sz w:val="20"/>
        </w:rPr>
        <w:t>Stockholders who wish to</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20"/>
        </w:rPr>
        <w:t>recommend individuals for consideration by the Nominating and Corporate Governance Committee to become nominees for election to the Board may do so by delivering a written recommendation to the Nominating and Corporate Governance Committee at the following address: Secretary, Sensei Biotherapeutics, Inc., 1405 Research Blvd, Suite 125, Rockville, Maryland 20850, at least 90 days, but not more than 120 days, prior to the anniversary date of the mailing of our proxy statement for the preceding year’s annual meeting of stockholders. Submissions must include: (1) the name and address of the Company stockholder on whose behalf the submission is made; (2) the number of Company shares that are owned beneficially by such stockholder as of the date of the submission; (3) the full name, age, business address and residence address of the proposed candidate; (4) a description of the proposed candidate’s principal occupation or employment; (5) the class and number of shares of each class of capital stock of the corporation which are owned of record and beneficially by such proposed candidate; and (6) such additional information as is required by our bylaws. Each submission must be accompanied by the written consent of the proposed candidate to be named as a nominee and to serve as a director if elected.</w:t>
      </w:r>
      <w:r>
        <w:rPr>
          <w:rFonts w:ascii="Times New Roman" w:hAnsi="Times New Roman"/>
          <w:sz w:val="20"/>
        </w:rPr>
        <w:t xml:space="preserve"> </w:t>
      </w:r>
    </w:p>
    <w:p>
      <w:pPr>
        <w:pStyle w:val="TextBody"/>
        <w:bidi w:val="0"/>
        <w:spacing w:before="360" w:after="120"/>
        <w:jc w:val="left"/>
        <w:rPr>
          <w:rFonts w:ascii="Times New Roman" w:hAnsi="Times New Roman"/>
          <w:sz w:val="20"/>
        </w:rPr>
      </w:pPr>
      <w:r>
        <w:rPr>
          <w:rFonts w:ascii="Times New Roman;serif" w:hAnsi="Times New Roman;serif"/>
          <w:b/>
          <w:sz w:val="20"/>
        </w:rPr>
        <w:t>Science and Technology Committee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Science and Technology Committee</w:t>
      </w:r>
      <w:r>
        <w:rPr>
          <w:rFonts w:ascii="Times New Roman" w:hAnsi="Times New Roman"/>
          <w:sz w:val="20"/>
        </w:rPr>
        <w:t xml:space="preserve"> </w:t>
      </w:r>
      <w:r>
        <w:rPr>
          <w:rFonts w:ascii="Times New Roman;serif" w:hAnsi="Times New Roman;serif"/>
          <w:b w:val="false"/>
          <w:sz w:val="20"/>
        </w:rPr>
        <w:t>is composed of four directors: Drs. Broder, English, Peyer and Vojta. Dr. English serves as the Chair of the Science and Technology Committee.</w:t>
      </w:r>
      <w:r>
        <w:rPr>
          <w:rFonts w:ascii="Times New Roman" w:hAnsi="Times New Roman"/>
          <w:sz w:val="20"/>
        </w:rPr>
        <w:t xml:space="preserve"> </w:t>
      </w:r>
      <w:r>
        <w:rPr>
          <w:rFonts w:ascii="Times New Roman;serif" w:hAnsi="Times New Roman;serif"/>
          <w:b w:val="false"/>
          <w:sz w:val="20"/>
        </w:rPr>
        <w:t>The Science and Technology Committee met three times during 2022. The Board has adopted a written Science and Technology Committee charter that is available to stockholders on the Company’s website at www.senseibio.com.</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Science and Technology Committee’s responsibilities include:</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advising the Board of Directors regarding endorsement of current and planned research and development programs, validating timelines, budget and key milestones;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monitoring and advising the Board of Directors about the progress on the approved research and development activities;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advising the Board of Directors regarding the scientific merit of pipeline programs and technologies for licensing and acquisition opportunities;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providing advice regarding emerging science, therapeutic trends and foreseeable opportunities;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providing advice to our scientific team on aspects of our research and development, preclinical and clinical programs;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reviewing and evaluating on an annual basis the performance of the Science and Technology Committee and the Science and Technology Committee charter.</w:t>
      </w:r>
    </w:p>
    <w:p>
      <w:pPr>
        <w:pStyle w:val="TextBody"/>
        <w:bidi w:val="0"/>
        <w:spacing w:before="360" w:after="120"/>
        <w:jc w:val="both"/>
        <w:rPr>
          <w:rFonts w:ascii="Times New Roman" w:hAnsi="Times New Roman"/>
          <w:sz w:val="20"/>
        </w:rPr>
      </w:pPr>
      <w:r>
        <w:rPr>
          <w:rFonts w:ascii="Times New Roman;serif" w:hAnsi="Times New Roman;serif"/>
          <w:b/>
          <w:sz w:val="20"/>
        </w:rPr>
        <w:t>STOCKHOLDER COMMUNICATIONS WITH THE BOARD OF DIRECTORS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Board of Directors has adopted a formal process by which stockholders may communicate with the Board of Directors or any of its directors. Stockholders who wish to communicate with the Board of Directors may do so by sending written communications addressed to the Board of Directors or the director in care of Sensei Biotherapeutics, Inc., 1405 Research Blvd, Suite 125, Rockville, Maryland 20850, Attn: Secretary. Each communication must set forth the name and address of the stockholder on whose behalf the communication is sent and the number and class of shares of our stock that are owned beneficially by the stockholder as of the date of the communication.</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These communications will be reviewed by our Secretary, who will determine whether they should be presented to the Board of Directors. The purpose of this screening is to allow the Board of Directors to avoid having to consider communications that contain advertisements or solicitations or are unduly hostile, threatening or similarly inappropriate. All communications directed to the audit committee in accordance with our Open Door Policy for Reporting Complaints Regarding Accounting and Auditing Matters that relate to questionable accounting or auditing matters involving the Company will be promptly and directly forwarded to the Audit Committee.</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Any interested person may communicate directly with the non-management directors. Persons interested in communicating directly with the non-management directors regarding their concerns or issues may do so by addressing correspondence to a particular director, or to the non-management directors generally, in care of Sensei Biotherapeutics, Inc., 1405 Research Blvd, Suite 125, Rockville, Maryland 20850. If no particular director is named, letters will be forwarded, depending upon the subject matter, to the chair of the Audit, Compensation, Nominating and Corporate Governance or Science and Technology Committee.</w:t>
      </w:r>
    </w:p>
    <w:p>
      <w:pPr>
        <w:pStyle w:val="TextBody"/>
        <w:bidi w:val="0"/>
        <w:spacing w:before="360" w:after="120"/>
        <w:jc w:val="left"/>
        <w:rPr>
          <w:rFonts w:ascii="Times New Roman" w:hAnsi="Times New Roman"/>
          <w:sz w:val="20"/>
        </w:rPr>
      </w:pPr>
      <w:r>
        <w:rPr>
          <w:rFonts w:ascii="Times New Roman;serif" w:hAnsi="Times New Roman;serif"/>
          <w:b/>
          <w:sz w:val="20"/>
        </w:rPr>
        <w:t>CODE OF BUSINESS CONDUCT AND ETHICS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We have adopted a Code of Business Conduct and Ethics (the “Code of Conduct”) applicable to all of our employees, executive officers and directors. The Code of Conduct is available on our website at www.senseibio.com. The Nominating and Corporate Governance Committee is responsible for overseeing the Code of Conduct and must approve any waivers of the Code of Conduct for executive officers and directors. If we make any substantive amendments to the Code of Conduct or grants any waiver from a provision of the Code of Conduct to any executive officer or director, we will promptly disclose the nature of the amendment or waiver on our website.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20"/>
        <w:jc w:val="left"/>
        <w:rPr>
          <w:rFonts w:ascii="Times New Roman" w:hAnsi="Times New Roman"/>
          <w:sz w:val="20"/>
        </w:rPr>
      </w:pPr>
      <w:r>
        <w:rPr>
          <w:rFonts w:ascii="Times New Roman;serif" w:hAnsi="Times New Roman;serif"/>
          <w:b/>
          <w:sz w:val="20"/>
        </w:rPr>
        <w:t>CORPORATE GOVERNANCE GUIDELINES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 connection with our initial public offering, the Board documented the governance practices followed by the Company by adopting Corporate Governance Guidelines to assure that the Board will have the necessary authority and practices in place to review and evaluate our business operations as needed and to make decisions that are independent of our management. The Corporate Governance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Chief Executive Officer performance evaluation and succession planning, and board committees and compensation. The Nominating and Corporate Governance Committee regularly reviews the Corporate Governance Guidelines, seeks advice and recommendations from outside advisors, and considers corporate governance trends and best practices in our industry.</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4" w:name="proposal2"/>
      <w:bookmarkEnd w:id="4"/>
      <w:r>
        <w:rPr>
          <w:rFonts w:ascii="Times New Roman;serif" w:hAnsi="Times New Roman;serif"/>
          <w:b/>
          <w:sz w:val="20"/>
        </w:rPr>
        <w:t>PROPOSAL NO. 2</w:t>
      </w:r>
      <w:r>
        <w:rPr>
          <w:rFonts w:ascii="Times New Roman" w:hAnsi="Times New Roman"/>
          <w:sz w:val="20"/>
        </w:rPr>
        <w:t xml:space="preserve"> </w:t>
      </w:r>
    </w:p>
    <w:p>
      <w:pPr>
        <w:pStyle w:val="TextBody"/>
        <w:bidi w:val="0"/>
        <w:spacing w:before="360" w:after="120"/>
        <w:jc w:val="center"/>
        <w:rPr>
          <w:rFonts w:ascii="Times New Roman" w:hAnsi="Times New Roman"/>
          <w:sz w:val="20"/>
        </w:rPr>
      </w:pPr>
      <w:r>
        <w:rPr>
          <w:rFonts w:ascii="Times New Roman;serif" w:hAnsi="Times New Roman;serif"/>
          <w:b/>
          <w:sz w:val="20"/>
        </w:rPr>
        <w:t>RATIFICATION OF SELECTION OF INDEPENDENT REGISTERED PUBLIC ACCOUNTING FIRM</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Audit Committee of the Board has selected Deloitte &amp; Touche LLP as the Company’s independent registered public accounting firm for the year ending December 31, 2023 and has further directed that management submit the selection of its independent registered public accounting firm for ratification by the stockholders at the Annual Meeting. Deloitte &amp; Touche LLP has audited the Company’s financial statements since 2016. Representatives of Deloitte &amp; Touche LLP are expected to be present at the Annual Meeting. They will have an opportunity to make a statement if they so desire and will be available to respond to appropriate questions.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Neither the Company’s Bylaws nor other governing documents or law require stockholder ratification of the selection of Deloitte &amp; Touche LLP as the Company’s independent registered public accounting firm. However, the Audit Committee of the Board is submitting the selection of Deloitte &amp; Touche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affirmative vote of the holders of a majority of the shares present virtually or represented by proxy and entitled to vote on the matter at the Annual Meeting will be required to ratify the selection of Deloitte &amp; Touche LLP.</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sz w:val="20"/>
        </w:rPr>
        <w:t>FEES FOR SERVICES PROVIDED BY THE INDEPENDENT REGISTERED PUBLIC ACCOUNTING FIRM</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following table represents aggregate fees for professional services rendered to the Company for the years ended December 31, 2022 and 2021 by Deloitte &amp; Touche LLP, the Company’s independent registered public accounting firm.</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There were no other fees for the years ended December 31, 2022 and 2021.</w:t>
      </w:r>
      <w:r>
        <w:rPr>
          <w:rFonts w:ascii="Times New Roman" w:hAnsi="Times New Roman"/>
          <w:sz w:val="20"/>
        </w:rPr>
        <w:t xml:space="preserve"> </w:t>
      </w:r>
    </w:p>
    <w:tbl>
      <w:tblPr>
        <w:tblW w:w="3990" w:type="dxa"/>
        <w:jc w:val="left"/>
        <w:tblInd w:w="0" w:type="dxa"/>
        <w:tblLayout w:type="fixed"/>
        <w:tblCellMar>
          <w:top w:w="28" w:type="dxa"/>
          <w:left w:w="28" w:type="dxa"/>
          <w:bottom w:w="28" w:type="dxa"/>
          <w:right w:w="28" w:type="dxa"/>
        </w:tblCellMar>
      </w:tblPr>
      <w:tblGrid>
        <w:gridCol w:w="1171"/>
        <w:gridCol w:w="146"/>
        <w:gridCol w:w="233"/>
        <w:gridCol w:w="862"/>
        <w:gridCol w:w="146"/>
        <w:gridCol w:w="146"/>
        <w:gridCol w:w="233"/>
        <w:gridCol w:w="862"/>
        <w:gridCol w:w="1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Fiscal year</w:t>
              <w:br/>
              <w:t>ended</w:t>
              <w:br/>
              <w:t>December 31,</w:t>
              <w:b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Fiscal year</w:t>
              <w:br/>
              <w:t>ended</w:t>
              <w:br/>
              <w:t>December 31,</w:t>
              <w:br/>
              <w:t>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Audit fees(1)</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611,867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616,832</w:t>
            </w:r>
          </w:p>
        </w:tc>
        <w:tc>
          <w:tcPr>
            <w:tcW w:w="19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 fees(2)</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43,597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685,095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660,429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Audit fees consists of fees billed or incurred for professional services rendered in connection with the audit of our consolidated financial statements and review of the interim condensed consolidated financial statements included in our quarterly reports.</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jc w:val="left"/>
        <w:rPr>
          <w:rFonts w:ascii="Times New Roman;serif" w:hAnsi="Times New Roman;serif"/>
          <w:b w:val="false"/>
          <w:sz w:val="20"/>
        </w:rPr>
      </w:pPr>
      <w:r>
        <w:rPr>
          <w:rFonts w:ascii="Times New Roman;serif" w:hAnsi="Times New Roman;serif"/>
          <w:b w:val="false"/>
          <w:sz w:val="20"/>
        </w:rPr>
        <w:t>Tax fees includes services related to the preparation or review of the U.S. federal, state and local tax returns, and other advisory and professional services.</w:t>
      </w:r>
    </w:p>
    <w:p>
      <w:pPr>
        <w:pStyle w:val="TextBody"/>
        <w:bidi w:val="0"/>
        <w:spacing w:before="360" w:after="120"/>
        <w:jc w:val="left"/>
        <w:rPr>
          <w:rFonts w:ascii="Times New Roman" w:hAnsi="Times New Roman"/>
          <w:sz w:val="20"/>
        </w:rPr>
      </w:pPr>
      <w:r>
        <w:rPr>
          <w:rFonts w:ascii="Times New Roman;serif" w:hAnsi="Times New Roman;serif"/>
          <w:b/>
          <w:sz w:val="20"/>
        </w:rPr>
        <w:t>PRE-APPROVAL POLICIES AND PROCEDURES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Audit Committee has adopted a policy and procedures for the pre-approval of audit and non-audit services rendered by the Company’s independent auditors, Deloitte &amp; Touche LLP. The Audit Committee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All of the services of Deloitte &amp; Touche LLP for the years ended December 31, 2022 and 2021 described above were pre-approved in accordance with the Audit Committee Pre-Approval Policy.</w:t>
      </w:r>
      <w:r>
        <w:rPr>
          <w:rFonts w:ascii="Times New Roman" w:hAnsi="Times New Roman"/>
          <w:sz w:val="20"/>
        </w:rPr>
        <w:t xml:space="preserve"> </w:t>
      </w:r>
    </w:p>
    <w:p>
      <w:pPr>
        <w:pStyle w:val="TextBody"/>
        <w:bidi w:val="0"/>
        <w:spacing w:before="120" w:after="120"/>
        <w:jc w:val="center"/>
        <w:rPr>
          <w:rFonts w:ascii="Times New Roman" w:hAnsi="Times New Roman"/>
          <w:sz w:val="20"/>
        </w:rPr>
      </w:pPr>
      <w:r>
        <w:rPr>
          <w:rFonts w:ascii="Times New Roman;serif" w:hAnsi="Times New Roman;serif"/>
          <w:b/>
          <w:sz w:val="20"/>
        </w:rPr>
        <w:t>THE BOARD OF DIRECTORS RECOMMENDS</w:t>
      </w:r>
      <w:r>
        <w:rPr>
          <w:rFonts w:ascii="Times New Roman" w:hAnsi="Times New Roman"/>
          <w:sz w:val="20"/>
        </w:rPr>
        <w:t xml:space="preserve"> </w:t>
      </w:r>
    </w:p>
    <w:p>
      <w:pPr>
        <w:pStyle w:val="TextBody"/>
        <w:bidi w:val="0"/>
        <w:spacing w:before="120" w:after="120"/>
        <w:jc w:val="center"/>
        <w:rPr>
          <w:rFonts w:ascii="Times New Roman" w:hAnsi="Times New Roman"/>
          <w:sz w:val="20"/>
        </w:rPr>
      </w:pPr>
      <w:r>
        <w:rPr>
          <w:rFonts w:ascii="Times New Roman;serif" w:hAnsi="Times New Roman;serif"/>
          <w:b/>
          <w:sz w:val="20"/>
        </w:rPr>
        <w:t>A VOTE “</w:t>
      </w:r>
      <w:r>
        <w:rPr>
          <w:rFonts w:ascii="Times New Roman;serif" w:hAnsi="Times New Roman;serif"/>
          <w:b/>
          <w:sz w:val="20"/>
          <w:u w:val="single"/>
        </w:rPr>
        <w:t>FOR</w:t>
      </w:r>
      <w:r>
        <w:rPr>
          <w:rFonts w:ascii="Times New Roman" w:hAnsi="Times New Roman"/>
          <w:sz w:val="20"/>
        </w:rPr>
        <w:t xml:space="preserve">” </w:t>
      </w:r>
      <w:r>
        <w:rPr>
          <w:rFonts w:ascii="Times New Roman;serif" w:hAnsi="Times New Roman;serif"/>
          <w:b/>
          <w:sz w:val="20"/>
        </w:rPr>
        <w:t>PROPOSAL NO. 2</w:t>
      </w:r>
      <w:r>
        <w:rPr>
          <w:rFonts w:ascii="Times New Roman;serif" w:hAnsi="Times New Roman;serif"/>
          <w:b w:val="false"/>
          <w:sz w:val="20"/>
        </w:rPr>
        <w:t>.</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2"/>
        </w:rPr>
        <w:br/>
      </w:r>
      <w:r>
        <w:rPr>
          <w:rFonts w:ascii="Times New Roman" w:hAnsi="Times New Roman"/>
          <w:sz w:val="20"/>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center"/>
        <w:rPr>
          <w:rFonts w:ascii="Times New Roman;serif" w:hAnsi="Times New Roman;serif"/>
          <w:b/>
          <w:sz w:val="20"/>
        </w:rPr>
      </w:pPr>
      <w:bookmarkStart w:id="5" w:name="exec_officers"/>
      <w:bookmarkEnd w:id="5"/>
      <w:r>
        <w:rPr>
          <w:rFonts w:ascii="Times New Roman;serif" w:hAnsi="Times New Roman;serif"/>
          <w:b/>
          <w:sz w:val="20"/>
        </w:rPr>
        <w:t>EXECUTIVE OFFICERS</w:t>
      </w:r>
    </w:p>
    <w:p>
      <w:pPr>
        <w:pStyle w:val="TextBody"/>
        <w:bidi w:val="0"/>
        <w:spacing w:before="120" w:after="120"/>
        <w:jc w:val="both"/>
        <w:rPr>
          <w:rFonts w:ascii="Times New Roman" w:hAnsi="Times New Roman"/>
          <w:sz w:val="20"/>
        </w:rPr>
      </w:pPr>
      <w:r>
        <w:rPr>
          <w:rFonts w:ascii="Times New Roman;serif" w:hAnsi="Times New Roman;serif"/>
          <w:b w:val="false"/>
          <w:sz w:val="21"/>
        </w:rPr>
        <w:t>The following table sets forth information concerning our executive officers:</w:t>
      </w:r>
      <w:r>
        <w:rPr>
          <w:rFonts w:ascii="Times New Roman" w:hAnsi="Times New Roman"/>
          <w:sz w:val="20"/>
        </w:rPr>
        <w:t xml:space="preserve"> </w:t>
      </w:r>
    </w:p>
    <w:tbl>
      <w:tblPr>
        <w:tblW w:w="6493" w:type="dxa"/>
        <w:jc w:val="left"/>
        <w:tblInd w:w="0" w:type="dxa"/>
        <w:tblLayout w:type="fixed"/>
        <w:tblCellMar>
          <w:top w:w="28" w:type="dxa"/>
          <w:left w:w="28" w:type="dxa"/>
          <w:bottom w:w="28" w:type="dxa"/>
          <w:right w:w="28" w:type="dxa"/>
        </w:tblCellMar>
      </w:tblPr>
      <w:tblGrid>
        <w:gridCol w:w="2386"/>
        <w:gridCol w:w="146"/>
        <w:gridCol w:w="396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Position</w:t>
            </w:r>
          </w:p>
        </w:tc>
      </w:tr>
      <w:tr>
        <w:trPr/>
        <w:tc>
          <w:tcPr>
            <w:tcW w:w="23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61" w:type="dxa"/>
            <w:tcBorders/>
            <w:vAlign w:val="center"/>
          </w:tcPr>
          <w:p>
            <w:pPr>
              <w:pStyle w:val="TableContents"/>
              <w:bidi w:val="0"/>
              <w:spacing w:before="0" w:after="0"/>
              <w:ind w:left="0" w:right="0" w:hanging="0"/>
              <w:jc w:val="left"/>
              <w:rPr/>
            </w:pPr>
            <w:r>
              <w:rPr/>
              <w:t> </w:t>
            </w:r>
          </w:p>
        </w:tc>
      </w:tr>
      <w:tr>
        <w:trPr/>
        <w:tc>
          <w:tcPr>
            <w:tcW w:w="2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John Celebi</w:t>
            </w:r>
          </w:p>
        </w:tc>
        <w:tc>
          <w:tcPr>
            <w:tcW w:w="146" w:type="dxa"/>
            <w:tcBorders/>
            <w:vAlign w:val="center"/>
          </w:tcPr>
          <w:p>
            <w:pPr>
              <w:pStyle w:val="TableContents"/>
              <w:bidi w:val="0"/>
              <w:spacing w:before="0" w:after="0"/>
              <w:ind w:left="0" w:right="0" w:hanging="0"/>
              <w:jc w:val="center"/>
              <w:rPr/>
            </w:pPr>
            <w:r>
              <w:rPr/>
              <w:t> </w:t>
            </w:r>
          </w:p>
        </w:tc>
        <w:tc>
          <w:tcPr>
            <w:tcW w:w="39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Chief Executive Officer and Director</w:t>
            </w:r>
          </w:p>
        </w:tc>
      </w:tr>
      <w:tr>
        <w:trPr/>
        <w:tc>
          <w:tcPr>
            <w:tcW w:w="2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Erin Colgan</w:t>
            </w:r>
          </w:p>
        </w:tc>
        <w:tc>
          <w:tcPr>
            <w:tcW w:w="146" w:type="dxa"/>
            <w:tcBorders/>
            <w:vAlign w:val="center"/>
          </w:tcPr>
          <w:p>
            <w:pPr>
              <w:pStyle w:val="TableContents"/>
              <w:bidi w:val="0"/>
              <w:spacing w:before="0" w:after="0"/>
              <w:ind w:left="0" w:right="0" w:hanging="0"/>
              <w:jc w:val="center"/>
              <w:rPr/>
            </w:pPr>
            <w:r>
              <w:rPr/>
              <w:t> </w:t>
            </w:r>
          </w:p>
        </w:tc>
        <w:tc>
          <w:tcPr>
            <w:tcW w:w="39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2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Patrick Gallagher</w:t>
            </w:r>
          </w:p>
        </w:tc>
        <w:tc>
          <w:tcPr>
            <w:tcW w:w="146" w:type="dxa"/>
            <w:tcBorders/>
            <w:vAlign w:val="center"/>
          </w:tcPr>
          <w:p>
            <w:pPr>
              <w:pStyle w:val="TableContents"/>
              <w:bidi w:val="0"/>
              <w:spacing w:before="0" w:after="0"/>
              <w:ind w:left="0" w:right="0" w:hanging="0"/>
              <w:jc w:val="center"/>
              <w:rPr/>
            </w:pPr>
            <w:r>
              <w:rPr/>
              <w:t> </w:t>
            </w:r>
          </w:p>
        </w:tc>
        <w:tc>
          <w:tcPr>
            <w:tcW w:w="39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Business Officer</w:t>
            </w:r>
          </w:p>
        </w:tc>
      </w:tr>
      <w:tr>
        <w:trPr/>
        <w:tc>
          <w:tcPr>
            <w:tcW w:w="2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Edward van der Horst, Ph.D.</w:t>
            </w:r>
          </w:p>
        </w:tc>
        <w:tc>
          <w:tcPr>
            <w:tcW w:w="146" w:type="dxa"/>
            <w:tcBorders/>
            <w:vAlign w:val="center"/>
          </w:tcPr>
          <w:p>
            <w:pPr>
              <w:pStyle w:val="TableContents"/>
              <w:bidi w:val="0"/>
              <w:spacing w:before="0" w:after="0"/>
              <w:ind w:left="0" w:right="0" w:hanging="0"/>
              <w:jc w:val="center"/>
              <w:rPr/>
            </w:pPr>
            <w:r>
              <w:rPr/>
              <w:t> </w:t>
            </w:r>
          </w:p>
        </w:tc>
        <w:tc>
          <w:tcPr>
            <w:tcW w:w="39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Scientific Officer</w:t>
            </w:r>
          </w:p>
        </w:tc>
      </w:tr>
    </w:tbl>
    <w:p>
      <w:pPr>
        <w:pStyle w:val="TextBody"/>
        <w:bidi w:val="0"/>
        <w:spacing w:before="360" w:after="120"/>
        <w:jc w:val="left"/>
        <w:rPr>
          <w:rFonts w:ascii="Times New Roman" w:hAnsi="Times New Roman"/>
          <w:sz w:val="20"/>
        </w:rPr>
      </w:pPr>
      <w:r>
        <w:rPr>
          <w:rFonts w:ascii="Times New Roman;serif" w:hAnsi="Times New Roman;serif"/>
          <w:b/>
          <w:sz w:val="20"/>
        </w:rPr>
        <w:t>EXECUTIVE OFFICERS WHO ARE NOT DIRECTORS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following sets forth certain information as of the date hereof with respect to our executive officers who are not directors:</w:t>
      </w:r>
      <w:r>
        <w:rPr>
          <w:rFonts w:ascii="Times New Roman" w:hAnsi="Times New Roman"/>
          <w:sz w:val="20"/>
        </w:rPr>
        <w:t xml:space="preserve"> </w:t>
      </w:r>
    </w:p>
    <w:p>
      <w:pPr>
        <w:pStyle w:val="TextBody"/>
        <w:bidi w:val="0"/>
        <w:spacing w:before="360" w:after="120"/>
        <w:jc w:val="both"/>
        <w:rPr>
          <w:rFonts w:ascii="Times New Roman" w:hAnsi="Times New Roman"/>
          <w:sz w:val="20"/>
        </w:rPr>
      </w:pPr>
      <w:r>
        <w:rPr>
          <w:rFonts w:ascii="Times New Roman;serif" w:hAnsi="Times New Roman;serif"/>
          <w:b/>
          <w:i/>
          <w:sz w:val="20"/>
        </w:rPr>
        <w:t>Erin Colgan</w:t>
      </w:r>
      <w:r>
        <w:rPr>
          <w:rFonts w:ascii="Times New Roman;serif" w:hAnsi="Times New Roman;serif"/>
          <w:b w:val="false"/>
          <w:i/>
          <w:sz w:val="20"/>
        </w:rPr>
        <w:t>, age 42</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Erin Colgan has served as our Chief Financial Officer since January 2022 and previously served as our Senior Vice President of Finance and Administration from July 2020 to December 2021. Prior to joining us, Ms. Colgan served as the Vice President of FP+A and Commercial Planning at Intarcia Therapeutics from August 2019 to June 2020. Prior to Intarcia, from 2010 to August 2019, Ms. Colgan held various roles of increasing responsibility at Vertex Pharmaceuticals, most recently as Senior Director, FP+A and Global Revenue. Ms. Colgan began her career in public accounting at PricewaterhouseCoopers where she worked in both audit and business development. Ms. Colgan holds a B.A. in Accounting from the University of Massachusetts, Amherst.</w:t>
      </w:r>
    </w:p>
    <w:p>
      <w:pPr>
        <w:pStyle w:val="TextBody"/>
        <w:bidi w:val="0"/>
        <w:spacing w:before="360" w:after="120"/>
        <w:jc w:val="both"/>
        <w:rPr>
          <w:rFonts w:ascii="Times New Roman" w:hAnsi="Times New Roman"/>
          <w:sz w:val="20"/>
        </w:rPr>
      </w:pPr>
      <w:r>
        <w:rPr>
          <w:rFonts w:ascii="Times New Roman;serif" w:hAnsi="Times New Roman;serif"/>
          <w:b/>
          <w:i/>
          <w:sz w:val="20"/>
        </w:rPr>
        <w:t>Patrick Gallagher</w:t>
      </w:r>
      <w:r>
        <w:rPr>
          <w:rFonts w:ascii="Times New Roman;serif" w:hAnsi="Times New Roman;serif"/>
          <w:b w:val="false"/>
          <w:i/>
          <w:sz w:val="20"/>
        </w:rPr>
        <w:t>, age 43</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Patrick Gallagher has served as our Chief Business Officer since June 2022. Prior to joining us, Mr. Gallagher served as a Managing Director of Binney Street Partners from October 2020 to June 2022, where he supported transactions, financings and partnerships for private and publicly traded biotechnology and pharmaceutical companies. Prior to Binney Street Partners, Mr. Gallagher was a Principal with Aquilo Partners, a boutique investment bank, from March 2018 to 2020. Prior to Aquilo Partners, from 2016 to 2018, he served as Senior Director of Business Development for Radius Health. Prior to that, he served in multiple strategy and transaction roles for AbbVie from 2014 to 2016, Flagship Pioneering from 2010 to 2014 and AMAG Pharmaceuticals from 2009 to 2010. Mr. Gallagher earned a B.A. in psychology from Ohio Wesleyan University, and both an M.B.A. and M.P.H. from Boston University.</w:t>
      </w:r>
    </w:p>
    <w:p>
      <w:pPr>
        <w:pStyle w:val="TextBody"/>
        <w:bidi w:val="0"/>
        <w:spacing w:before="360" w:after="120"/>
        <w:jc w:val="both"/>
        <w:rPr>
          <w:rFonts w:ascii="Times New Roman" w:hAnsi="Times New Roman"/>
          <w:sz w:val="20"/>
        </w:rPr>
      </w:pPr>
      <w:r>
        <w:rPr>
          <w:rFonts w:ascii="Times New Roman;serif" w:hAnsi="Times New Roman;serif"/>
          <w:b/>
          <w:i/>
          <w:sz w:val="20"/>
        </w:rPr>
        <w:t>Edward van der Horst, Ph.D.</w:t>
      </w:r>
      <w:r>
        <w:rPr>
          <w:rFonts w:ascii="Times New Roman;serif" w:hAnsi="Times New Roman;serif"/>
          <w:b w:val="false"/>
          <w:i/>
          <w:sz w:val="20"/>
        </w:rPr>
        <w:t>, age 50</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Edward van der Horst, Ph.D. has served as our Chief Scientific Officer since December 2022. Dr. van der Horst previously served as our Senior Vice President of Biologics Discovery and Early Development from October 2021 to December 2022 and as our Vice President of Preclinical Development from September 2019 to October 2021. Prior to joining us, Dr. van der Horst served as Vice President, Discovery Biology &amp; Preclinical Drug Development at Zenith Epigenetics Ltd., a clinical stage oncology company, from 2017 to August 2019. Prior to Zenith Epigenetics, from 2010 to 2017, he served in various roles at Igenica Biotherapeutics, Inc., an immunotherapy company, including as Senior Director of Preclinical Development. Dr. van der Horst attended the University of Dusseldorf, holds a M.Sc. in Chemistry from Ludwig-Maximilians-Universitat Munchen and a Ph.D. in Biochemistry and Molecular Biology from Max-Plank-Institute for Biochemistry.</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center"/>
        <w:rPr>
          <w:rFonts w:ascii="Times New Roman;serif" w:hAnsi="Times New Roman;serif"/>
          <w:b/>
          <w:sz w:val="20"/>
        </w:rPr>
      </w:pPr>
      <w:bookmarkStart w:id="6" w:name="sec_ben_own"/>
      <w:bookmarkEnd w:id="6"/>
      <w:r>
        <w:rPr>
          <w:rFonts w:ascii="Times New Roman;serif" w:hAnsi="Times New Roman;serif"/>
          <w:b/>
          <w:sz w:val="20"/>
        </w:rPr>
        <w:t>SECURITY OWNERSHIP OF CERTAIN BENEFICIAL OWNERS AND MANAGEMENT</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sets forth the beneficial ownership of our common stock as of June 8, 2023 for:</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120" w:after="12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 w:hAnsi="Times New Roman"/>
                <w:sz w:val="20"/>
              </w:rPr>
            </w:pPr>
            <w:r>
              <w:rPr>
                <w:rFonts w:ascii="Times New Roman;serif" w:hAnsi="Times New Roman;serif"/>
                <w:b w:val="false"/>
                <w:sz w:val="20"/>
              </w:rPr>
              <w:t>each person, or group of affiliated persons, who is known by us to beneficially own more than 5% of our common stock;</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 w:hAnsi="Times New Roman"/>
                <w:sz w:val="20"/>
              </w:rPr>
            </w:pPr>
            <w:r>
              <w:rPr>
                <w:rFonts w:ascii="Times New Roman;serif" w:hAnsi="Times New Roman;serif"/>
                <w:b w:val="false"/>
                <w:sz w:val="20"/>
              </w:rPr>
              <w:t>each of our named executive officers;</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 w:hAnsi="Times New Roman"/>
                <w:sz w:val="20"/>
              </w:rPr>
            </w:pPr>
            <w:r>
              <w:rPr>
                <w:rFonts w:ascii="Times New Roman;serif" w:hAnsi="Times New Roman;serif"/>
                <w:b w:val="false"/>
                <w:sz w:val="20"/>
              </w:rPr>
              <w:t>each of our directors; and</w:t>
            </w:r>
            <w:r>
              <w:rPr>
                <w:rFonts w:ascii="Times New Roman" w:hAnsi="Times New Roman"/>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89" w:type="dxa"/>
            <w:tcBorders/>
            <w:tcMar>
              <w:top w:w="0" w:type="dxa"/>
              <w:left w:w="0" w:type="dxa"/>
              <w:bottom w:w="0" w:type="dxa"/>
              <w:right w:w="0" w:type="dxa"/>
            </w:tcMar>
            <w:vAlign w:val="center"/>
          </w:tcPr>
          <w:p>
            <w:pPr>
              <w:pStyle w:val="TableContents"/>
              <w:bidi w:val="0"/>
              <w:spacing w:before="120" w:after="120"/>
              <w:ind w:left="0" w:right="0" w:hanging="0"/>
              <w:jc w:val="left"/>
              <w:rPr>
                <w:rFonts w:ascii="Times New Roman" w:hAnsi="Times New Roman"/>
                <w:sz w:val="20"/>
              </w:rPr>
            </w:pPr>
            <w:r>
              <w:rPr>
                <w:rFonts w:ascii="Times New Roman;serif" w:hAnsi="Times New Roman;serif"/>
                <w:b w:val="false"/>
                <w:sz w:val="20"/>
              </w:rPr>
              <w:t>all of our executive officers and directors as a group.</w:t>
            </w:r>
            <w:r>
              <w:rPr>
                <w:rFonts w:ascii="Times New Roman" w:hAnsi="Times New Roman"/>
                <w:sz w:val="20"/>
              </w:rPr>
              <w:t xml:space="preserve"> </w:t>
            </w:r>
          </w:p>
        </w:tc>
      </w:tr>
    </w:tbl>
    <w:p>
      <w:pPr>
        <w:pStyle w:val="TextBody"/>
        <w:bidi w:val="0"/>
        <w:spacing w:before="120" w:after="120"/>
        <w:jc w:val="both"/>
        <w:rPr>
          <w:rFonts w:ascii="Times New Roman" w:hAnsi="Times New Roman"/>
          <w:sz w:val="20"/>
        </w:rPr>
      </w:pPr>
      <w:r>
        <w:rPr>
          <w:rFonts w:ascii="Times New Roman;serif" w:hAnsi="Times New Roman;serif"/>
          <w:b w:val="false"/>
          <w:sz w:val="20"/>
        </w:rPr>
        <w:t>We have determined beneficial ownership in accordance with the rules of the SEC. These rules generally attribute beneficial ownership of securities to persons who possess sole or shared voting power or investment power with respect to those securities. In addition, these rules require that we include shares of common stock issuable pursuant to the vesting of restricted stock units and the exercise of stock options that are either immediately exercisable or exercisable within 60 days of June 8, 2023.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Except as otherwise noted below, the address for persons listed in the table is c/o Sensei Biotherapeutics, Inc., 1405 Research Blvd, Suite 125, Rockville, Maryland 20850.</w:t>
      </w:r>
    </w:p>
    <w:tbl>
      <w:tblPr>
        <w:tblW w:w="10205" w:type="dxa"/>
        <w:jc w:val="left"/>
        <w:tblInd w:w="0" w:type="dxa"/>
        <w:tblLayout w:type="fixed"/>
        <w:tblCellMar>
          <w:top w:w="28" w:type="dxa"/>
          <w:left w:w="28" w:type="dxa"/>
          <w:bottom w:w="28" w:type="dxa"/>
          <w:right w:w="28" w:type="dxa"/>
        </w:tblCellMar>
      </w:tblPr>
      <w:tblGrid>
        <w:gridCol w:w="4383"/>
        <w:gridCol w:w="146"/>
        <w:gridCol w:w="324"/>
        <w:gridCol w:w="2069"/>
        <w:gridCol w:w="146"/>
        <w:gridCol w:w="146"/>
        <w:gridCol w:w="512"/>
        <w:gridCol w:w="2014"/>
        <w:gridCol w:w="146"/>
        <w:gridCol w:w="319"/>
      </w:tblGrid>
      <w:tr>
        <w:trPr/>
        <w:tc>
          <w:tcPr>
            <w:tcW w:w="4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3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Shares Beneficially Owned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 of Shares Beneficially Owned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Greater than 5% Stockholders:</w:t>
            </w:r>
          </w:p>
        </w:tc>
        <w:tc>
          <w:tcPr>
            <w:tcW w:w="146" w:type="dxa"/>
            <w:tcBorders/>
            <w:vAlign w:val="center"/>
          </w:tcPr>
          <w:p>
            <w:pPr>
              <w:pStyle w:val="TableContents"/>
              <w:bidi w:val="0"/>
              <w:spacing w:before="0" w:after="0"/>
              <w:ind w:left="0" w:right="0" w:hanging="0"/>
              <w:jc w:val="left"/>
              <w:rPr/>
            </w:pPr>
            <w:r>
              <w:rPr/>
              <w:t> </w:t>
            </w:r>
          </w:p>
        </w:tc>
        <w:tc>
          <w:tcPr>
            <w:tcW w:w="239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52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Cambrian BioPharma Inc. (2)</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5,283,914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left"/>
              <w:rPr/>
            </w:pPr>
            <w:r>
              <w:rPr/>
              <w:t> </w:t>
            </w:r>
          </w:p>
        </w:tc>
        <w:tc>
          <w:tcPr>
            <w:tcW w:w="2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Calibri;sans-serif" w:hAnsi="Calibri;sans-serif"/>
                <w:b w:val="false"/>
                <w:sz w:val="22"/>
              </w:rPr>
            </w:pPr>
            <w:r>
              <w:rPr>
                <w:rFonts w:ascii="Calibri;sans-serif" w:hAnsi="Calibri;sans-serif"/>
                <w:b w:val="false"/>
                <w:sz w:val="22"/>
              </w:rPr>
              <w:t>%</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H&amp;S Investments I LP (3)</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4,441,624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left"/>
              <w:rPr/>
            </w:pPr>
            <w:r>
              <w:rPr/>
              <w:t> </w:t>
            </w:r>
          </w:p>
        </w:tc>
        <w:tc>
          <w:tcPr>
            <w:tcW w:w="2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Newtyn Management, LLC (4)</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1,540,920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left"/>
              <w:rPr/>
            </w:pPr>
            <w:r>
              <w:rPr/>
              <w:t> </w:t>
            </w:r>
          </w:p>
        </w:tc>
        <w:tc>
          <w:tcPr>
            <w:tcW w:w="2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52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Named Executive Officers and Directors:</w:t>
            </w:r>
          </w:p>
        </w:tc>
        <w:tc>
          <w:tcPr>
            <w:tcW w:w="146" w:type="dxa"/>
            <w:tcBorders/>
            <w:vAlign w:val="center"/>
          </w:tcPr>
          <w:p>
            <w:pPr>
              <w:pStyle w:val="TableContents"/>
              <w:bidi w:val="0"/>
              <w:spacing w:before="0" w:after="0"/>
              <w:ind w:left="0" w:right="0" w:hanging="0"/>
              <w:jc w:val="left"/>
              <w:rPr/>
            </w:pPr>
            <w:r>
              <w:rPr/>
              <w:t> </w:t>
            </w:r>
          </w:p>
        </w:tc>
        <w:tc>
          <w:tcPr>
            <w:tcW w:w="239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52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John Celebi (5)</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891,691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left"/>
              <w:rPr/>
            </w:pPr>
            <w:r>
              <w:rPr/>
              <w:t> </w:t>
            </w:r>
          </w:p>
        </w:tc>
        <w:tc>
          <w:tcPr>
            <w:tcW w:w="2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Erin Colgan (6)</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146,365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6"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Robert Pierce, M.D. (7)</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257,483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left"/>
              <w:rPr/>
            </w:pPr>
            <w:r>
              <w:rPr/>
              <w:t> </w:t>
            </w:r>
          </w:p>
        </w:tc>
        <w:tc>
          <w:tcPr>
            <w:tcW w:w="2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0.961</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Edward van der Horst, Ph.D. (8)</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156,831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6"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William Ringo (9)</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6"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Sam Broder, M.D. (10)</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6"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Thomas Ricks (11)</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390,062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left"/>
              <w:rPr/>
            </w:pPr>
            <w:r>
              <w:rPr/>
              <w:t> </w:t>
            </w:r>
          </w:p>
        </w:tc>
        <w:tc>
          <w:tcPr>
            <w:tcW w:w="2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James Peyer, Ph.D. (2)</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5,283,914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left"/>
              <w:rPr/>
            </w:pPr>
            <w:r>
              <w:rPr/>
              <w:t> </w:t>
            </w:r>
          </w:p>
        </w:tc>
        <w:tc>
          <w:tcPr>
            <w:tcW w:w="2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Robert Holmen (12)</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92,715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6"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Kristian Humer (13)</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6"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Jessie English, Ph.D. (14)</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6"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Deneen Vojta, M.D. (15)</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6"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19" w:type="dxa"/>
            <w:tcBorders/>
            <w:vAlign w:val="center"/>
          </w:tcPr>
          <w:p>
            <w:pPr>
              <w:pStyle w:val="TableContents"/>
              <w:bidi w:val="0"/>
              <w:spacing w:before="0" w:after="0"/>
              <w:ind w:left="0" w:right="0" w:hanging="0"/>
              <w:jc w:val="left"/>
              <w:rPr/>
            </w:pPr>
            <w:r>
              <w:rPr/>
              <w:t> </w:t>
            </w:r>
          </w:p>
        </w:tc>
      </w:tr>
      <w:tr>
        <w:trPr/>
        <w:tc>
          <w:tcPr>
            <w:tcW w:w="43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 current directors and executive officers as a group (12 persons)</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20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7,208,610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 w:type="dxa"/>
            <w:tcBorders/>
            <w:vAlign w:val="center"/>
          </w:tcPr>
          <w:p>
            <w:pPr>
              <w:pStyle w:val="TableContents"/>
              <w:bidi w:val="0"/>
              <w:spacing w:before="0" w:after="0"/>
              <w:ind w:left="0" w:right="0" w:hanging="0"/>
              <w:jc w:val="left"/>
              <w:rPr/>
            </w:pPr>
            <w:r>
              <w:rPr/>
              <w:t> </w:t>
            </w:r>
          </w:p>
        </w:tc>
        <w:tc>
          <w:tcPr>
            <w:tcW w:w="20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*Less than one percent.</w:t>
      </w:r>
    </w:p>
    <w:p>
      <w:pPr>
        <w:pStyle w:val="TextBody"/>
        <w:bidi w:val="0"/>
        <w:spacing w:before="0" w:after="0"/>
        <w:jc w:val="both"/>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table is based upon information supplied by officers, directors and principal stockholders and filings with the SEC, if any, including Schedules 13D and 13G and Section 16 filings.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26,530,450 shares outstanding on June 8, 2023, adjusted as required by rules promulgated by the SEC.</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information has been obtained from a Schedule 13G/A filed on February 14, 2023 by Cambrian BioPharma Inc. (“Cambrian”) and James Peyer. Consists of 5,235,956 shares of common stock and 45,356 shares issuable pursuant to stock options exercisable within 60 days following June 8, 2023. Cambrian is a Delaware corporation and Dr. Peyer serves as Cambrian’s Chief Executive Officer. In such capacity Dr. Peyer may direct the voting and disposition of the shares held by Cambrian, subject in certain instances to the approval of Cambrian’s board of directors. Cambrian’s business address is 228 Park Avenue S. #66643, New York, New York 10003.</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This information has been obtained from a Schedule 13G filed on February 14, 2022 by entities and individuals associated with H&amp;S Investments I LP (“H&amp;S”). Consists of 4,426,000 shares of common stock and warrants exercisable for 15,624 shares of common stock held by H&amp;S Investments I, L.P. H&amp;S Ventures, LLC, its general partner, and Michael Schulman, manager of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H&amp;S Ventures, may be deemed to have voting and dispositive power with respect to the shares held. The principal business address of H&amp;S Investments I, L.P. is 2101 E Coast Highway 3rd Floor Corona Del Mar, CA 92625.</w:t>
      </w:r>
    </w:p>
    <w:p>
      <w:pPr>
        <w:pStyle w:val="TextBody"/>
        <w:bidi w:val="0"/>
        <w:spacing w:before="0" w:after="0"/>
        <w:jc w:val="left"/>
        <w:rPr>
          <w:rFonts w:ascii="Times New Roman" w:hAnsi="Times New Roman"/>
          <w:b w:val="false"/>
          <w:sz w:val="20"/>
        </w:rPr>
      </w:pPr>
      <w:r>
        <w:rPr>
          <w:rFonts w:ascii="Times New Roman" w:hAnsi="Times New Roman"/>
          <w:b w:val="false"/>
          <w:sz w:val="20"/>
        </w:rPr>
        <w:t>(4)</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This information has been obtained from a Form 13F Holdings Report filed on May 15, 2023 by Newtyn Management, LLC. The principal business address of Newtyn Management, LLC is 60 East 42nd Street, 9th Floor, New York, NY 10165. </w:t>
      </w:r>
    </w:p>
    <w:p>
      <w:pPr>
        <w:pStyle w:val="TextBody"/>
        <w:bidi w:val="0"/>
        <w:spacing w:before="0" w:after="0"/>
        <w:jc w:val="left"/>
        <w:rPr>
          <w:rFonts w:ascii="Times New Roman" w:hAnsi="Times New Roman"/>
          <w:b w:val="false"/>
          <w:sz w:val="20"/>
        </w:rPr>
      </w:pPr>
      <w:r>
        <w:rPr>
          <w:rFonts w:ascii="Times New Roman" w:hAnsi="Times New Roman"/>
          <w:b w:val="false"/>
          <w:sz w:val="20"/>
        </w:rPr>
        <w:t>(5)</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Consists of 4,210 shares of common stock, 65,368 RSUs that vest within 60 days following June 8, 2023 and 822,113 shares issuable pursuant to stock options exercisable within 60 days following June 8, 2023.</w:t>
      </w:r>
    </w:p>
    <w:p>
      <w:pPr>
        <w:pStyle w:val="TextBody"/>
        <w:bidi w:val="0"/>
        <w:spacing w:before="0" w:after="0"/>
        <w:jc w:val="left"/>
        <w:rPr>
          <w:rFonts w:ascii="Times New Roman" w:hAnsi="Times New Roman"/>
          <w:b w:val="false"/>
          <w:sz w:val="20"/>
        </w:rPr>
      </w:pPr>
      <w:r>
        <w:rPr>
          <w:rFonts w:ascii="Times New Roman" w:hAnsi="Times New Roman"/>
          <w:b w:val="false"/>
          <w:sz w:val="20"/>
        </w:rPr>
        <w:t>(6)</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Consists of 9,686 shares of common stock, 35,296 RSUs that vest within 60 days following June 8, 2023 and 101,383 shares issuable pursuant to stock options exercisable within 60 days following June 8, 2023.</w:t>
      </w:r>
    </w:p>
    <w:p>
      <w:pPr>
        <w:pStyle w:val="TextBody"/>
        <w:bidi w:val="0"/>
        <w:spacing w:before="0" w:after="0"/>
        <w:jc w:val="left"/>
        <w:rPr>
          <w:rFonts w:ascii="Times New Roman" w:hAnsi="Times New Roman"/>
          <w:b w:val="false"/>
          <w:sz w:val="20"/>
        </w:rPr>
      </w:pPr>
      <w:r>
        <w:rPr>
          <w:rFonts w:ascii="Times New Roman" w:hAnsi="Times New Roman"/>
          <w:b w:val="false"/>
          <w:sz w:val="20"/>
        </w:rPr>
        <w:t>(7)</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Consists of 3,000 shares of common stock, 5,250 RSUs that vest within 60 days following June 8, 2023 and 249,233 shares issuable pursuant to stock options exercisable within 60 days following June 8, 2023.</w:t>
      </w:r>
    </w:p>
    <w:p>
      <w:pPr>
        <w:pStyle w:val="TextBody"/>
        <w:bidi w:val="0"/>
        <w:spacing w:before="0" w:after="0"/>
        <w:jc w:val="left"/>
        <w:rPr>
          <w:rFonts w:ascii="Times New Roman" w:hAnsi="Times New Roman"/>
          <w:b w:val="false"/>
          <w:sz w:val="20"/>
        </w:rPr>
      </w:pPr>
      <w:r>
        <w:rPr>
          <w:rFonts w:ascii="Times New Roman" w:hAnsi="Times New Roman"/>
          <w:b w:val="false"/>
          <w:sz w:val="20"/>
        </w:rPr>
        <w:t>(8)</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Consists of 9,473 shares of common stock, 27,240 RSUs that vest within 60 days following June 8, 2023 and 120,118 shares issuable pursuant to stock options exercisable within 60 days following June 8, 2023.</w:t>
      </w:r>
    </w:p>
    <w:p>
      <w:pPr>
        <w:pStyle w:val="TextBody"/>
        <w:bidi w:val="0"/>
        <w:spacing w:before="0" w:after="0"/>
        <w:jc w:val="left"/>
        <w:rPr>
          <w:rFonts w:ascii="Times New Roman" w:hAnsi="Times New Roman"/>
          <w:b w:val="false"/>
          <w:sz w:val="20"/>
        </w:rPr>
      </w:pPr>
      <w:r>
        <w:rPr>
          <w:rFonts w:ascii="Times New Roman" w:hAnsi="Times New Roman"/>
          <w:b w:val="false"/>
          <w:sz w:val="20"/>
        </w:rPr>
        <w:t>(9)</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Consists of 12,977 RSUs that vest within 60 days following June 8, 2023 and 12,933 shares issuable pursuant to stock options exercisable within 60 days following June 8, 2023.</w:t>
      </w:r>
    </w:p>
    <w:p>
      <w:pPr>
        <w:pStyle w:val="TextBody"/>
        <w:bidi w:val="0"/>
        <w:spacing w:before="0" w:after="0"/>
        <w:jc w:val="left"/>
        <w:rPr>
          <w:rFonts w:ascii="Times New Roman" w:hAnsi="Times New Roman"/>
          <w:b w:val="false"/>
          <w:sz w:val="20"/>
        </w:rPr>
      </w:pPr>
      <w:r>
        <w:rPr>
          <w:rFonts w:ascii="Times New Roman" w:hAnsi="Times New Roman"/>
          <w:b w:val="false"/>
          <w:sz w:val="20"/>
        </w:rPr>
        <w:t>(10)</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Consists of 4,466 RSUs that vest within 60 days following June 8, 2023 and 45,981 shares issuable pursuant to stock options exercisable within 60 days following June 8, 2023.</w:t>
      </w:r>
    </w:p>
    <w:p>
      <w:pPr>
        <w:pStyle w:val="TextBody"/>
        <w:bidi w:val="0"/>
        <w:spacing w:before="0" w:after="0"/>
        <w:jc w:val="left"/>
        <w:rPr>
          <w:rFonts w:ascii="Times New Roman" w:hAnsi="Times New Roman"/>
          <w:b w:val="false"/>
          <w:sz w:val="20"/>
        </w:rPr>
      </w:pPr>
      <w:r>
        <w:rPr>
          <w:rFonts w:ascii="Times New Roman" w:hAnsi="Times New Roman"/>
          <w:b w:val="false"/>
          <w:sz w:val="20"/>
        </w:rPr>
        <w:t>(11)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Consists of 334,931 shares of our common stock and a warrant to purchase 1,457 shares of our common stock held by Ricks Family Trust, 4,466 RSUs that vest within 60 days following June 8, 2023 and 49,208 shares issuable pursuant to stock options exercisable within 60 days following June 8, 2023 held by Thomas Ricks. Thomas Ricks is a trustee of the Ricks Family Trust and accordingly may be deemed to have voting and dispositive power with respect to the shares held by Ricks Family Trust.</w:t>
      </w:r>
    </w:p>
    <w:p>
      <w:pPr>
        <w:pStyle w:val="TextBody"/>
        <w:bidi w:val="0"/>
        <w:spacing w:before="0" w:after="0"/>
        <w:jc w:val="left"/>
        <w:rPr>
          <w:rFonts w:ascii="Times New Roman" w:hAnsi="Times New Roman"/>
          <w:b w:val="false"/>
          <w:sz w:val="20"/>
        </w:rPr>
      </w:pPr>
      <w:r>
        <w:rPr>
          <w:rFonts w:ascii="Times New Roman" w:hAnsi="Times New Roman"/>
          <w:b w:val="false"/>
          <w:sz w:val="20"/>
        </w:rPr>
        <w:t>(12)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Consists of 16,666 shares of common stock, 4,466 RSUs that vest within 60 days following June 8, 2023 and 71,583 shares issuable pursuant to stock options exercisable within 60 days following June 8, 2023.</w:t>
      </w:r>
    </w:p>
    <w:p>
      <w:pPr>
        <w:pStyle w:val="TextBody"/>
        <w:bidi w:val="0"/>
        <w:spacing w:before="0" w:after="0"/>
        <w:jc w:val="left"/>
        <w:rPr>
          <w:rFonts w:ascii="Times New Roman" w:hAnsi="Times New Roman"/>
          <w:b w:val="false"/>
          <w:sz w:val="20"/>
        </w:rPr>
      </w:pPr>
      <w:r>
        <w:rPr>
          <w:rFonts w:ascii="Times New Roman" w:hAnsi="Times New Roman"/>
          <w:b w:val="false"/>
          <w:sz w:val="20"/>
        </w:rPr>
        <w:t>(13)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Consists of 4,466 RSUs that vest within 60 days following June 8, 2023 and 25,661 shares issuable pursuant to stock options exercisable within 60 days following June 8, 2023.</w:t>
      </w:r>
    </w:p>
    <w:p>
      <w:pPr>
        <w:pStyle w:val="TextBody"/>
        <w:bidi w:val="0"/>
        <w:spacing w:before="0" w:after="0"/>
        <w:jc w:val="left"/>
        <w:rPr>
          <w:rFonts w:ascii="Times New Roman" w:hAnsi="Times New Roman"/>
          <w:b w:val="false"/>
          <w:sz w:val="20"/>
        </w:rPr>
      </w:pPr>
      <w:r>
        <w:rPr>
          <w:rFonts w:ascii="Times New Roman" w:hAnsi="Times New Roman"/>
          <w:b w:val="false"/>
          <w:sz w:val="20"/>
        </w:rPr>
        <w:t>(14)</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Consists of 4,466 RSUs that vest within 60 days following June 8, 2023 and 27,513 shares issuable pursuant to stock options exercisable within 60 days following June 8, 2023.</w:t>
      </w:r>
    </w:p>
    <w:p>
      <w:pPr>
        <w:pStyle w:val="TextBody"/>
        <w:bidi w:val="0"/>
        <w:spacing w:before="0" w:after="0"/>
        <w:jc w:val="left"/>
        <w:rPr>
          <w:rFonts w:ascii="Times New Roman" w:hAnsi="Times New Roman"/>
          <w:b w:val="false"/>
          <w:sz w:val="20"/>
        </w:rPr>
      </w:pPr>
      <w:r>
        <w:rPr>
          <w:rFonts w:ascii="Times New Roman" w:hAnsi="Times New Roman"/>
          <w:b w:val="false"/>
          <w:sz w:val="20"/>
        </w:rPr>
        <w:t>(15)</w:t>
      </w:r>
    </w:p>
    <w:p>
      <w:pPr>
        <w:pStyle w:val="TextBody"/>
        <w:bidi w:val="0"/>
        <w:jc w:val="left"/>
        <w:rPr>
          <w:rFonts w:ascii="Times New Roman;serif" w:hAnsi="Times New Roman;serif"/>
          <w:b w:val="false"/>
          <w:sz w:val="20"/>
        </w:rPr>
      </w:pPr>
      <w:r>
        <w:rPr>
          <w:rFonts w:ascii="Times New Roman;serif" w:hAnsi="Times New Roman;serif"/>
          <w:b w:val="false"/>
          <w:sz w:val="20"/>
        </w:rPr>
        <w:t>Consists of 4,466 RSUs that vest within 60 days following June 8, 2023 and 28,438 shares issuable pursuant to stock options exercisable within 60 days following June 8,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7" w:name="delinq16a"/>
      <w:bookmarkEnd w:id="7"/>
      <w:r>
        <w:rPr>
          <w:rFonts w:ascii="Times New Roman;serif" w:hAnsi="Times New Roman;serif"/>
          <w:b/>
          <w:sz w:val="20"/>
        </w:rPr>
        <w:t>DELINQUENT SECTION 16(A) REPORTS</w:t>
      </w:r>
    </w:p>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To our knowledge, based solely on a review of our records and representations made by our directors and officers and certain of our more than 10% stockholders regarding their filing obligations, we believe that during the year ended December 31, 2022, our directors, executive officers and more than 10% stockholders complied with all applicable Section 16(a) filing requirements, other than one Form 4 that was filed late on February 8, 2022 by each of Cambrian BioPharma, Inc. and Dr. Peyer, one Form 4 that was filed late on July 19, 2022 by Apeiron Investment Group Ltd. and one amendment to a Form 4 that was filed on September 1, 2022 to amend a Form 4 previously filed on February 17, 2022 to correct the number of shares owned by Robert Pierce, our former Chief R&amp;D Officer.</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center"/>
        <w:rPr>
          <w:rFonts w:ascii="Times New Roman" w:hAnsi="Times New Roman"/>
          <w:sz w:val="20"/>
        </w:rPr>
      </w:pPr>
      <w:bookmarkStart w:id="8" w:name="exec_comp"/>
      <w:bookmarkEnd w:id="8"/>
      <w:r>
        <w:rPr>
          <w:rFonts w:ascii="Times New Roman;serif" w:hAnsi="Times New Roman;serif"/>
          <w:b/>
          <w:sz w:val="20"/>
        </w:rPr>
        <w:t>EXECUTIVE COMPENSATION</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Our named executive officers, consisting of our principal executive officer, our next two most highly compensated executive officers, and one former executive officer who would have been within the next two most highly compensated executive officers had he been serving as an executive officer as of December 31, 2022, for the fiscal year ended December 31, 2022 were: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John Celebi, our President and Chief Executive Officer;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Erin Colgan, our Chief Financial Officer;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Edward van der Horst, Ph.D., our Chief Scientific Officer;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Robert Pierce, Ph.D., our former Chief R&amp;D Officer.</w:t>
      </w:r>
    </w:p>
    <w:p>
      <w:pPr>
        <w:pStyle w:val="TextBody"/>
        <w:bidi w:val="0"/>
        <w:spacing w:before="360" w:after="120"/>
        <w:jc w:val="left"/>
        <w:rPr>
          <w:rFonts w:ascii="Times New Roman" w:hAnsi="Times New Roman"/>
          <w:sz w:val="20"/>
        </w:rPr>
      </w:pPr>
      <w:r>
        <w:rPr>
          <w:rFonts w:ascii="Times New Roman;serif" w:hAnsi="Times New Roman;serif"/>
          <w:b/>
          <w:sz w:val="20"/>
        </w:rPr>
        <w:t>Summary Compensation Table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The following table sets forth information concerning the compensation of our named executive officers during the fiscal years ended December 31, 2022 and 2021:</w:t>
      </w:r>
      <w:r>
        <w:rPr>
          <w:rFonts w:ascii="Times New Roman" w:hAnsi="Times New Roman"/>
          <w:sz w:val="20"/>
        </w:rPr>
        <w:t xml:space="preserve"> </w:t>
      </w:r>
    </w:p>
    <w:p>
      <w:pPr>
        <w:pStyle w:val="TextBody"/>
        <w:bidi w:val="0"/>
        <w:spacing w:before="0" w:after="0"/>
        <w:jc w:val="left"/>
        <w:rPr/>
      </w:pPr>
      <w:r>
        <w:rPr/>
        <w:t> </w:t>
      </w:r>
    </w:p>
    <w:tbl>
      <w:tblPr>
        <w:tblW w:w="10245" w:type="dxa"/>
        <w:jc w:val="left"/>
        <w:tblInd w:w="0" w:type="dxa"/>
        <w:tblLayout w:type="fixed"/>
        <w:tblCellMar>
          <w:top w:w="28" w:type="dxa"/>
          <w:left w:w="28" w:type="dxa"/>
          <w:bottom w:w="28" w:type="dxa"/>
          <w:right w:w="28" w:type="dxa"/>
        </w:tblCellMar>
      </w:tblPr>
      <w:tblGrid>
        <w:gridCol w:w="931"/>
        <w:gridCol w:w="146"/>
        <w:gridCol w:w="526"/>
        <w:gridCol w:w="146"/>
        <w:gridCol w:w="146"/>
        <w:gridCol w:w="781"/>
        <w:gridCol w:w="146"/>
        <w:gridCol w:w="146"/>
        <w:gridCol w:w="146"/>
        <w:gridCol w:w="781"/>
        <w:gridCol w:w="146"/>
        <w:gridCol w:w="146"/>
        <w:gridCol w:w="146"/>
        <w:gridCol w:w="931"/>
        <w:gridCol w:w="146"/>
        <w:gridCol w:w="146"/>
        <w:gridCol w:w="179"/>
        <w:gridCol w:w="962"/>
        <w:gridCol w:w="146"/>
        <w:gridCol w:w="271"/>
        <w:gridCol w:w="179"/>
        <w:gridCol w:w="962"/>
        <w:gridCol w:w="146"/>
        <w:gridCol w:w="376"/>
        <w:gridCol w:w="146"/>
        <w:gridCol w:w="931"/>
        <w:gridCol w:w="391"/>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Name and Principal Position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Salary</w:t>
              <w:b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w:t>
              <w:br/>
              <w:t>Awards</w:t>
              <w:b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w:t>
              <w:br/>
              <w:t>Awards</w:t>
              <w:b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Non-Equity</w:t>
              <w:br/>
              <w:t>Incentive Plan</w:t>
              <w:br/>
              <w:t>Compensation</w:t>
              <w:b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1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All Other</w:t>
              <w:br/>
              <w:t>Compensation</w:t>
              <w:b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7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John Celebi</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231,770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537,420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228,016</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w:t>
            </w:r>
          </w:p>
        </w:tc>
        <w:tc>
          <w:tcPr>
            <w:tcW w:w="17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59,176</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(7)</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1,568,882</w:t>
            </w:r>
          </w:p>
        </w:tc>
        <w:tc>
          <w:tcPr>
            <w:tcW w:w="391" w:type="dxa"/>
            <w:tcBorders/>
            <w:vAlign w:val="center"/>
          </w:tcPr>
          <w:p>
            <w:pPr>
              <w:pStyle w:val="TableContents"/>
              <w:bidi w:val="0"/>
              <w:spacing w:before="0" w:after="0"/>
              <w:ind w:left="0" w:right="0" w:firstLine="200"/>
              <w:jc w:val="left"/>
              <w:rPr/>
            </w:pPr>
            <w:r>
              <w:rPr/>
              <w:t> </w:t>
            </w:r>
          </w:p>
        </w:tc>
      </w:tr>
      <w:tr>
        <w:trPr/>
        <w:tc>
          <w:tcPr>
            <w:tcW w:w="931" w:type="dxa"/>
            <w:tcBorders/>
            <w:vAlign w:val="center"/>
          </w:tcPr>
          <w:p>
            <w:pPr>
              <w:pStyle w:val="TableContents"/>
              <w:bidi w:val="0"/>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President and Chief Executive Officer</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487,068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6,116,715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264,000</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41,912</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6,909,695</w:t>
            </w:r>
          </w:p>
        </w:tc>
        <w:tc>
          <w:tcPr>
            <w:tcW w:w="391" w:type="dxa"/>
            <w:tcBorders/>
            <w:vAlign w:val="center"/>
          </w:tcPr>
          <w:p>
            <w:pPr>
              <w:pStyle w:val="TableContents"/>
              <w:bidi w:val="0"/>
              <w:spacing w:before="0" w:after="0"/>
              <w:ind w:left="0" w:right="0" w:firstLine="200"/>
              <w:jc w:val="left"/>
              <w:rPr/>
            </w:pPr>
            <w:r>
              <w:rPr/>
              <w:t> </w:t>
            </w:r>
          </w:p>
        </w:tc>
      </w:tr>
      <w:tr>
        <w:trPr/>
        <w:tc>
          <w:tcPr>
            <w:tcW w:w="931"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7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Erin Colgan</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132,020</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(5)</w:t>
            </w:r>
          </w:p>
        </w:tc>
        <w:tc>
          <w:tcPr>
            <w:tcW w:w="17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16,808</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(8)</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855,316</w:t>
            </w:r>
          </w:p>
        </w:tc>
        <w:tc>
          <w:tcPr>
            <w:tcW w:w="391" w:type="dxa"/>
            <w:tcBorders/>
            <w:vAlign w:val="center"/>
          </w:tcPr>
          <w:p>
            <w:pPr>
              <w:pStyle w:val="TableContents"/>
              <w:bidi w:val="0"/>
              <w:spacing w:before="0" w:after="0"/>
              <w:ind w:left="0" w:right="0" w:firstLine="200"/>
              <w:jc w:val="left"/>
              <w:rPr/>
            </w:pPr>
            <w:r>
              <w:rPr/>
              <w:t> </w:t>
            </w:r>
          </w:p>
        </w:tc>
      </w:tr>
      <w:tr>
        <w:trPr/>
        <w:tc>
          <w:tcPr>
            <w:tcW w:w="931" w:type="dxa"/>
            <w:tcBorders/>
            <w:vAlign w:val="center"/>
          </w:tcPr>
          <w:p>
            <w:pPr>
              <w:pStyle w:val="TableContents"/>
              <w:bidi w:val="0"/>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Chief Financial Officer</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317,812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764,586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123,600</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11,780</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1,217,778</w:t>
            </w:r>
          </w:p>
        </w:tc>
        <w:tc>
          <w:tcPr>
            <w:tcW w:w="391" w:type="dxa"/>
            <w:tcBorders/>
            <w:vAlign w:val="center"/>
          </w:tcPr>
          <w:p>
            <w:pPr>
              <w:pStyle w:val="TableContents"/>
              <w:bidi w:val="0"/>
              <w:spacing w:before="0" w:after="0"/>
              <w:ind w:left="0" w:right="0" w:firstLine="200"/>
              <w:jc w:val="left"/>
              <w:rPr/>
            </w:pPr>
            <w:r>
              <w:rPr/>
              <w:t> </w:t>
            </w:r>
          </w:p>
        </w:tc>
      </w:tr>
      <w:tr>
        <w:trPr/>
        <w:tc>
          <w:tcPr>
            <w:tcW w:w="931"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7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Edward van der Horst, Ph.D.(2)</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326,923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103,543</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(6)</w:t>
            </w:r>
          </w:p>
        </w:tc>
        <w:tc>
          <w:tcPr>
            <w:tcW w:w="17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14,401</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654,404</w:t>
            </w:r>
          </w:p>
        </w:tc>
        <w:tc>
          <w:tcPr>
            <w:tcW w:w="391" w:type="dxa"/>
            <w:tcBorders/>
            <w:vAlign w:val="center"/>
          </w:tcPr>
          <w:p>
            <w:pPr>
              <w:pStyle w:val="TableContents"/>
              <w:bidi w:val="0"/>
              <w:spacing w:before="0" w:after="0"/>
              <w:ind w:left="0" w:right="0" w:firstLine="200"/>
              <w:jc w:val="left"/>
              <w:rPr/>
            </w:pPr>
            <w:r>
              <w:rPr/>
              <w:t> </w:t>
            </w:r>
          </w:p>
        </w:tc>
      </w:tr>
      <w:tr>
        <w:trPr/>
        <w:tc>
          <w:tcPr>
            <w:tcW w:w="931" w:type="dxa"/>
            <w:tcBorders/>
            <w:vAlign w:val="center"/>
          </w:tcPr>
          <w:p>
            <w:pPr>
              <w:pStyle w:val="TableContents"/>
              <w:bidi w:val="0"/>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Chief Scientific Officer</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7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931"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7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Robert Pierce, M.D. (3)</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298,251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377,572</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1,187,277</w:t>
            </w:r>
          </w:p>
        </w:tc>
        <w:tc>
          <w:tcPr>
            <w:tcW w:w="391" w:type="dxa"/>
            <w:tcBorders/>
            <w:vAlign w:val="center"/>
          </w:tcPr>
          <w:p>
            <w:pPr>
              <w:pStyle w:val="TableContents"/>
              <w:bidi w:val="0"/>
              <w:spacing w:before="0" w:after="0"/>
              <w:ind w:left="0" w:right="0" w:firstLine="200"/>
              <w:jc w:val="left"/>
              <w:rPr/>
            </w:pPr>
            <w:r>
              <w:rPr/>
              <w:t> </w:t>
            </w:r>
          </w:p>
        </w:tc>
      </w:tr>
      <w:tr>
        <w:trPr/>
        <w:tc>
          <w:tcPr>
            <w:tcW w:w="931" w:type="dxa"/>
            <w:tcBorders/>
            <w:vAlign w:val="center"/>
          </w:tcPr>
          <w:p>
            <w:pPr>
              <w:pStyle w:val="TableContents"/>
              <w:bidi w:val="0"/>
              <w:spacing w:before="0" w:after="0"/>
              <w:ind w:left="200" w:right="0" w:hanging="0"/>
              <w:jc w:val="left"/>
              <w:rPr>
                <w:rFonts w:ascii="Times New Roman;serif" w:hAnsi="Times New Roman;serif"/>
                <w:b w:val="false"/>
                <w:i/>
                <w:sz w:val="20"/>
              </w:rPr>
            </w:pPr>
            <w:r>
              <w:rPr>
                <w:rFonts w:ascii="Times New Roman;serif" w:hAnsi="Times New Roman;serif"/>
                <w:b w:val="false"/>
                <w:i/>
                <w:sz w:val="20"/>
              </w:rPr>
              <w:t>Former Chief R&amp;D Officer</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1,620,922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167,700</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62,791</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2,261,413</w:t>
            </w:r>
          </w:p>
        </w:tc>
        <w:tc>
          <w:tcPr>
            <w:tcW w:w="391" w:type="dxa"/>
            <w:tcBorders/>
            <w:vAlign w:val="center"/>
          </w:tcPr>
          <w:p>
            <w:pPr>
              <w:pStyle w:val="TableContents"/>
              <w:bidi w:val="0"/>
              <w:spacing w:before="0" w:after="0"/>
              <w:ind w:left="0" w:right="0" w:firstLine="200"/>
              <w:jc w:val="left"/>
              <w:rPr/>
            </w:pPr>
            <w:r>
              <w:rPr/>
              <w:t> </w:t>
            </w:r>
          </w:p>
        </w:tc>
      </w:tr>
      <w:tr>
        <w:trPr/>
        <w:tc>
          <w:tcPr>
            <w:tcW w:w="931"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7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bl>
    <w:p>
      <w:pPr>
        <w:pStyle w:val="TextBody"/>
        <w:bidi w:val="0"/>
        <w:spacing w:before="40" w:after="0"/>
        <w:jc w:val="left"/>
        <w:rPr>
          <w:rFonts w:ascii="Times New Roman" w:hAnsi="Times New Roman"/>
          <w:b w:val="false"/>
          <w:sz w:val="20"/>
        </w:rPr>
      </w:pPr>
      <w:r>
        <w:rPr>
          <w:rFonts w:ascii="Times New Roman" w:hAnsi="Times New Roman"/>
          <w:b w:val="false"/>
          <w:sz w:val="20"/>
        </w:rPr>
        <w:t>(1)</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amounts disclosed represent the aggregate grant date fair value of the awards granted to our named executive officers during 2022 under our 2021 Equity Incentive Plan (the “2021 Plan”), computed in accordance with ASC Topic 718. The assumptions used in calculating the grant date fair value of the awards reported in this column are set forth in the notes to our audited consolidated financial statements included in our Form 10-K, filed with the SEC on March 29, 2023. These amounts do not reflect the actual economic value that may be realized by the named executive officer.</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Dr. van der Horst was promoted to Chief Scientific Officer and became an executive officer in December 2022. </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December 2022, we notified Dr. Pierce that his employment would terminate, effective December 7, 2022.</w:t>
      </w:r>
    </w:p>
    <w:p>
      <w:pPr>
        <w:pStyle w:val="TextBody"/>
        <w:bidi w:val="0"/>
        <w:spacing w:before="40" w:after="0"/>
        <w:jc w:val="left"/>
        <w:rPr>
          <w:rFonts w:ascii="Times New Roman" w:hAnsi="Times New Roman"/>
          <w:b w:val="false"/>
          <w:sz w:val="20"/>
        </w:rPr>
      </w:pPr>
      <w:r>
        <w:rPr>
          <w:rFonts w:ascii="Times New Roman" w:hAnsi="Times New Roman"/>
          <w:b w:val="false"/>
          <w:sz w:val="20"/>
        </w:rPr>
        <w:t>(4)</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Consists of (i) $152,771 paid in cash and (ii) $75,245 paid in the form of restricted stock units ("RSUs").</w:t>
      </w:r>
    </w:p>
    <w:p>
      <w:pPr>
        <w:pStyle w:val="TextBody"/>
        <w:bidi w:val="0"/>
        <w:spacing w:before="40" w:after="0"/>
        <w:jc w:val="left"/>
        <w:rPr>
          <w:rFonts w:ascii="Times New Roman" w:hAnsi="Times New Roman"/>
          <w:b w:val="false"/>
          <w:sz w:val="20"/>
        </w:rPr>
      </w:pPr>
      <w:r>
        <w:rPr>
          <w:rFonts w:ascii="Times New Roman" w:hAnsi="Times New Roman"/>
          <w:b w:val="false"/>
          <w:sz w:val="20"/>
        </w:rPr>
        <w:t>(5)</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Consists of (i) $88,453 paid in cash and (ii) $43,567 paid in the form of RSUs.</w:t>
      </w:r>
    </w:p>
    <w:p>
      <w:pPr>
        <w:pStyle w:val="TextBody"/>
        <w:bidi w:val="0"/>
        <w:spacing w:before="40" w:after="0"/>
        <w:jc w:val="left"/>
        <w:rPr>
          <w:rFonts w:ascii="Times New Roman" w:hAnsi="Times New Roman"/>
          <w:b w:val="false"/>
          <w:sz w:val="20"/>
        </w:rPr>
      </w:pPr>
      <w:r>
        <w:rPr>
          <w:rFonts w:ascii="Times New Roman" w:hAnsi="Times New Roman"/>
          <w:b w:val="false"/>
          <w:sz w:val="20"/>
        </w:rPr>
        <w:t>(6)</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Consists of (i) $69,374 paid in cash and (ii) $34,169 paid in the form of RSUs.</w:t>
      </w:r>
    </w:p>
    <w:p>
      <w:pPr>
        <w:pStyle w:val="TextBody"/>
        <w:bidi w:val="0"/>
        <w:spacing w:before="0" w:after="0"/>
        <w:jc w:val="left"/>
        <w:rPr>
          <w:rFonts w:ascii="Times New Roman" w:hAnsi="Times New Roman"/>
          <w:b w:val="false"/>
          <w:sz w:val="20"/>
        </w:rPr>
      </w:pPr>
      <w:r>
        <w:rPr>
          <w:rFonts w:ascii="Times New Roman" w:hAnsi="Times New Roman"/>
          <w:b w:val="false"/>
          <w:sz w:val="20"/>
        </w:rPr>
        <w:t>(7)</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Includes a housing allowance of $37,951, vehicle allowance, life insurance premiums, cell phone reimbursement and 401(k) plan matching contributions of $10,605.</w:t>
      </w:r>
    </w:p>
    <w:p>
      <w:pPr>
        <w:pStyle w:val="TextBody"/>
        <w:bidi w:val="0"/>
        <w:spacing w:before="0" w:after="0"/>
        <w:jc w:val="left"/>
        <w:rPr>
          <w:rFonts w:ascii="Times New Roman" w:hAnsi="Times New Roman"/>
          <w:b w:val="false"/>
          <w:sz w:val="20"/>
        </w:rPr>
      </w:pPr>
      <w:r>
        <w:rPr>
          <w:rFonts w:ascii="Times New Roman" w:hAnsi="Times New Roman"/>
          <w:b w:val="false"/>
          <w:sz w:val="20"/>
        </w:rPr>
        <w:t>(8)</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Includes life insurance premiums, cell phone reimbursement, legal fee reimbursement, commuter benefits and 401(k) plan matching contributions of $11,644. </w:t>
      </w:r>
    </w:p>
    <w:p>
      <w:pPr>
        <w:pStyle w:val="TextBody"/>
        <w:bidi w:val="0"/>
        <w:spacing w:before="0" w:after="0"/>
        <w:jc w:val="left"/>
        <w:rPr>
          <w:rFonts w:ascii="Times New Roman" w:hAnsi="Times New Roman"/>
          <w:b w:val="false"/>
          <w:sz w:val="20"/>
        </w:rPr>
      </w:pPr>
      <w:r>
        <w:rPr>
          <w:rFonts w:ascii="Times New Roman" w:hAnsi="Times New Roman"/>
          <w:b w:val="false"/>
          <w:sz w:val="20"/>
        </w:rPr>
        <w:t>(9)</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Includes life insurance premiums, cell phone reimbursement, legal fee reimbursement, commuter benefits and 401(k) plan matching contributions of $11,039. </w:t>
      </w:r>
    </w:p>
    <w:p>
      <w:pPr>
        <w:pStyle w:val="TextBody"/>
        <w:bidi w:val="0"/>
        <w:spacing w:before="0" w:after="0"/>
        <w:jc w:val="left"/>
        <w:rPr>
          <w:rFonts w:ascii="Times New Roman" w:hAnsi="Times New Roman"/>
          <w:b w:val="false"/>
          <w:sz w:val="20"/>
        </w:rPr>
      </w:pPr>
      <w:r>
        <w:rPr>
          <w:rFonts w:ascii="Times New Roman" w:hAnsi="Times New Roman"/>
          <w:b w:val="false"/>
          <w:sz w:val="20"/>
        </w:rPr>
        <w:t>(10)</w:t>
      </w:r>
    </w:p>
    <w:p>
      <w:pPr>
        <w:pStyle w:val="TextBody"/>
        <w:bidi w:val="0"/>
        <w:jc w:val="left"/>
        <w:rPr>
          <w:rFonts w:ascii="Times New Roman;serif" w:hAnsi="Times New Roman;serif"/>
          <w:b w:val="false"/>
          <w:sz w:val="20"/>
        </w:rPr>
      </w:pPr>
      <w:r>
        <w:rPr>
          <w:rFonts w:ascii="Times New Roman;serif" w:hAnsi="Times New Roman;serif"/>
          <w:b w:val="false"/>
          <w:sz w:val="20"/>
        </w:rPr>
        <w:t>Includes a cash severance payment of $337,500, COBRA premium payments of $25,263, life insurance premiums, travel expense reimbursement and 401(k) plan matching contributions.</w:t>
      </w:r>
    </w:p>
    <w:p>
      <w:pPr>
        <w:pStyle w:val="TextBody"/>
        <w:bidi w:val="0"/>
        <w:spacing w:before="360" w:after="120"/>
        <w:jc w:val="left"/>
        <w:rPr>
          <w:rFonts w:ascii="Times New Roman" w:hAnsi="Times New Roman"/>
          <w:sz w:val="20"/>
        </w:rPr>
      </w:pPr>
      <w:r>
        <w:rPr>
          <w:rFonts w:ascii="Times New Roman;serif" w:hAnsi="Times New Roman;serif"/>
          <w:b/>
          <w:sz w:val="20"/>
        </w:rPr>
        <w:t>Outstanding Equity Awards as of December 31, 2022</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20"/>
        </w:rPr>
        <w:t>The following table sets forth certain information about equity awards granted to our named executive officers that remain outstanding as of December 31, 2022:</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832"/>
        <w:gridCol w:w="146"/>
        <w:gridCol w:w="614"/>
        <w:gridCol w:w="146"/>
        <w:gridCol w:w="146"/>
        <w:gridCol w:w="886"/>
        <w:gridCol w:w="146"/>
        <w:gridCol w:w="146"/>
        <w:gridCol w:w="157"/>
        <w:gridCol w:w="954"/>
        <w:gridCol w:w="146"/>
        <w:gridCol w:w="305"/>
        <w:gridCol w:w="146"/>
        <w:gridCol w:w="226"/>
        <w:gridCol w:w="766"/>
        <w:gridCol w:w="146"/>
        <w:gridCol w:w="146"/>
        <w:gridCol w:w="903"/>
        <w:gridCol w:w="146"/>
        <w:gridCol w:w="176"/>
        <w:gridCol w:w="923"/>
        <w:gridCol w:w="146"/>
        <w:gridCol w:w="146"/>
        <w:gridCol w:w="276"/>
        <w:gridCol w:w="935"/>
        <w:gridCol w:w="146"/>
        <w:gridCol w:w="354"/>
      </w:tblGrid>
      <w:tr>
        <w:trPr/>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8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Grant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Securities</w:t>
              <w:br/>
              <w:t>Underlying</w:t>
              <w:br/>
              <w:t>Unexercised</w:t>
              <w:br/>
              <w:t>Options</w:t>
              <w:br/>
              <w:t>Exercisable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br/>
              <w:t>Securities</w:t>
              <w:br/>
              <w:t>Underlying</w:t>
              <w:br/>
              <w:t>Unexercised</w:t>
              <w:br/>
              <w:t>Options</w:t>
              <w:br/>
              <w:t>Unexercisable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0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w:t>
              <w:br/>
              <w:t>Exercise</w:t>
              <w:b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w:t>
              <w:br/>
              <w:t>Expiration</w:t>
              <w:b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shares or units of stock that have not vested</w:t>
              <w:b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Market value of shares of units of stock that have not vested (8)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8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John Celebi</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2/15/2022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161,600</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(1)</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2/15/2032</w:t>
            </w:r>
          </w:p>
        </w:tc>
        <w:tc>
          <w:tcPr>
            <w:tcW w:w="14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53,900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935"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80,311</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(7)</w:t>
            </w:r>
          </w:p>
        </w:tc>
      </w:tr>
      <w:tr>
        <w:trPr/>
        <w:tc>
          <w:tcPr>
            <w:tcW w:w="8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2/4/2021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190,971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225,695</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(2)</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2/3/2031</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8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2/15/2020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396,223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163,152</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(3)</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3.22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8/4/2030</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8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2/22/2018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26,666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122.88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4/1/2028</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8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Erin Colgan</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2/15/2022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62,000</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(1)</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2/15/2032</w:t>
            </w:r>
          </w:p>
        </w:tc>
        <w:tc>
          <w:tcPr>
            <w:tcW w:w="14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935"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31,290</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(7)</w:t>
            </w:r>
          </w:p>
        </w:tc>
      </w:tr>
      <w:tr>
        <w:trPr/>
        <w:tc>
          <w:tcPr>
            <w:tcW w:w="8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2/4/2021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23,871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28,212</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(2)</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2/3/2031</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8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8/5/2020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37,760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24,740</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(4)</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3.22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8/4/2030</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8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Edward van der Horst, Ph.D.</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2/15/2022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44,000</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(1)</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2/15/2032</w:t>
            </w:r>
          </w:p>
        </w:tc>
        <w:tc>
          <w:tcPr>
            <w:tcW w:w="14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14,700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935"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21,903</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(7)</w:t>
            </w:r>
          </w:p>
        </w:tc>
      </w:tr>
      <w:tr>
        <w:trPr/>
        <w:tc>
          <w:tcPr>
            <w:tcW w:w="8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10/8/2021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5,832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14,168</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(5)</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8.69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10/31/2031</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8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2/4/2021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33,419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39,497</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(2)</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2/3/2031</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8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2/15/2020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39,105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16,103</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(3)</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3.22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8/4/2030</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8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9/3/2019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2,539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586</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16.32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9/2/2029</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8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Robert Pierce, M.D.</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2/15/2022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62,000</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(1)</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2/15/2032</w:t>
            </w:r>
          </w:p>
        </w:tc>
        <w:tc>
          <w:tcPr>
            <w:tcW w:w="146" w:type="dxa"/>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935"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31,290</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(7)</w:t>
            </w:r>
          </w:p>
        </w:tc>
      </w:tr>
      <w:tr>
        <w:trPr/>
        <w:tc>
          <w:tcPr>
            <w:tcW w:w="8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2/4/2021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50,607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59,809</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(2)</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2/3/2031</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8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3/18/2020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520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122.38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8/4/2030</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r>
        <w:trPr/>
        <w:tc>
          <w:tcPr>
            <w:tcW w:w="8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1/22/2019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143,228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65,105</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(6)</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3.22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1/21/2029</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left"/>
        <w:rPr>
          <w:rFonts w:ascii="Times New Roman" w:hAnsi="Times New Roman"/>
          <w:b w:val="false"/>
          <w:sz w:val="20"/>
        </w:rPr>
      </w:pPr>
      <w:r>
        <w:rPr>
          <w:rFonts w:ascii="Times New Roman" w:hAnsi="Times New Roman"/>
          <w:b w:val="false"/>
          <w:sz w:val="20"/>
        </w:rPr>
        <w:t>(1)</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unvested shares underlying this option vest 25% on February 15, 2023 and thereafter in 36 equal monthly installments until February 15, 2026, subject to the officer’s continued service through each applicable vesting date.</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unvested shares underlying this option vest in 26 equal monthly installments until February 15, 2025, subject to the officer’s continued service through each applicable vesting date.</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unvested shares underlying this option vest in 14 equal monthly installments until February 15, 2024, subject to the officer’s continued service through each applicable vesting date.</w:t>
      </w:r>
    </w:p>
    <w:p>
      <w:pPr>
        <w:pStyle w:val="TextBody"/>
        <w:bidi w:val="0"/>
        <w:spacing w:before="0" w:after="0"/>
        <w:jc w:val="left"/>
        <w:rPr>
          <w:rFonts w:ascii="Times New Roman" w:hAnsi="Times New Roman"/>
          <w:b w:val="false"/>
          <w:sz w:val="20"/>
        </w:rPr>
      </w:pPr>
      <w:r>
        <w:rPr>
          <w:rFonts w:ascii="Times New Roman" w:hAnsi="Times New Roman"/>
          <w:b w:val="false"/>
          <w:sz w:val="20"/>
        </w:rPr>
        <w:t>(4)</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unvested shares underlying this option vest in 19 equal monthly installments until July 13, 2024, subject to the officer’s continued service through each applicable vesting date.</w:t>
      </w:r>
    </w:p>
    <w:p>
      <w:pPr>
        <w:pStyle w:val="TextBody"/>
        <w:bidi w:val="0"/>
        <w:spacing w:before="0" w:after="0"/>
        <w:jc w:val="left"/>
        <w:rPr>
          <w:rFonts w:ascii="Times New Roman" w:hAnsi="Times New Roman"/>
          <w:b w:val="false"/>
          <w:sz w:val="20"/>
        </w:rPr>
      </w:pPr>
      <w:r>
        <w:rPr>
          <w:rFonts w:ascii="Times New Roman" w:hAnsi="Times New Roman"/>
          <w:b w:val="false"/>
          <w:sz w:val="20"/>
        </w:rPr>
        <w:t>(5)</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unvested shares underlying this option vest in 33 equal monthly installments until October 8, 2025, subject to the officer’s continued service through each applicable vesting date.</w:t>
      </w:r>
    </w:p>
    <w:p>
      <w:pPr>
        <w:pStyle w:val="TextBody"/>
        <w:bidi w:val="0"/>
        <w:spacing w:before="0" w:after="0"/>
        <w:jc w:val="left"/>
        <w:rPr>
          <w:rFonts w:ascii="Times New Roman" w:hAnsi="Times New Roman"/>
          <w:b w:val="false"/>
          <w:sz w:val="20"/>
        </w:rPr>
      </w:pPr>
      <w:r>
        <w:rPr>
          <w:rFonts w:ascii="Times New Roman" w:hAnsi="Times New Roman"/>
          <w:b w:val="false"/>
          <w:sz w:val="20"/>
        </w:rPr>
        <w:t>(6)</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unvested shares underlying this option vest in 15 equal monthly installments until March 18, 2024, subject to the officer’s continued service through each applicable vesting date.</w:t>
      </w:r>
    </w:p>
    <w:p>
      <w:pPr>
        <w:pStyle w:val="TextBody"/>
        <w:bidi w:val="0"/>
        <w:spacing w:before="0" w:after="0"/>
        <w:jc w:val="left"/>
        <w:rPr>
          <w:rFonts w:ascii="Times New Roman" w:hAnsi="Times New Roman"/>
          <w:b w:val="false"/>
          <w:sz w:val="20"/>
        </w:rPr>
      </w:pPr>
      <w:r>
        <w:rPr>
          <w:rFonts w:ascii="Times New Roman" w:hAnsi="Times New Roman"/>
          <w:b w:val="false"/>
          <w:sz w:val="20"/>
        </w:rPr>
        <w:t>(7)</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unvested shares underlying this RSU vest 25% on February 15, 2023, and thereafter in 3 equal annual installments until February 15, 2026, subject to the officer’s continued service through each applicable vesting date.</w:t>
      </w:r>
    </w:p>
    <w:p>
      <w:pPr>
        <w:pStyle w:val="TextBody"/>
        <w:bidi w:val="0"/>
        <w:spacing w:before="0" w:after="0"/>
        <w:jc w:val="left"/>
        <w:rPr>
          <w:rFonts w:ascii="Times New Roman" w:hAnsi="Times New Roman"/>
          <w:b w:val="false"/>
          <w:sz w:val="20"/>
        </w:rPr>
      </w:pPr>
      <w:r>
        <w:rPr>
          <w:rFonts w:ascii="Times New Roman" w:hAnsi="Times New Roman"/>
          <w:b w:val="false"/>
          <w:sz w:val="20"/>
        </w:rPr>
        <w:t>(8)</w:t>
      </w:r>
    </w:p>
    <w:p>
      <w:pPr>
        <w:pStyle w:val="TextBody"/>
        <w:bidi w:val="0"/>
        <w:jc w:val="left"/>
        <w:rPr>
          <w:rFonts w:ascii="Times New Roman;serif" w:hAnsi="Times New Roman;serif"/>
          <w:b w:val="false"/>
          <w:sz w:val="20"/>
        </w:rPr>
      </w:pPr>
      <w:r>
        <w:rPr>
          <w:rFonts w:ascii="Times New Roman;serif" w:hAnsi="Times New Roman;serif"/>
          <w:b w:val="false"/>
          <w:sz w:val="20"/>
        </w:rPr>
        <w:t>The market value amount is calculated based on the closing price of our common stock of $1.49 per share on December 30, 2022.</w:t>
      </w:r>
    </w:p>
    <w:p>
      <w:pPr>
        <w:pStyle w:val="TextBody"/>
        <w:bidi w:val="0"/>
        <w:spacing w:before="360" w:after="120"/>
        <w:jc w:val="left"/>
        <w:rPr>
          <w:rFonts w:ascii="Times New Roman;serif" w:hAnsi="Times New Roman;serif"/>
          <w:b/>
          <w:sz w:val="20"/>
        </w:rPr>
      </w:pPr>
      <w:r>
        <w:rPr>
          <w:rFonts w:ascii="Times New Roman;serif" w:hAnsi="Times New Roman;serif"/>
          <w:b/>
          <w:sz w:val="20"/>
        </w:rPr>
        <w:t>Narrative to Summary Compensation Table</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review compensation annually for all employees, including our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Our Compensation Committee generally strives to set cash compensation at approximately the 50th percentile of our peer company data for comparable positions and total equity award value between the 50th and 75th percentile, though variations on this pay positioning may occur from year to year.</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Compensation Committee of our Board of Directors has historically determined our executives’ compensation. Our Compensation Committee typically reviews and discusses management’s proposed compensation with the Chief Executive Officer for all executives other than the Chief Executive Officer. Based on those discussions and its discretion, the Compensation Committee then, without members of management present, discusses and ultimately approves the compensation of our executive officers.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120"/>
        <w:jc w:val="left"/>
        <w:rPr>
          <w:rFonts w:ascii="Times New Roman;serif" w:hAnsi="Times New Roman;serif"/>
          <w:b/>
          <w:i/>
          <w:sz w:val="20"/>
        </w:rPr>
      </w:pPr>
      <w:r>
        <w:rPr>
          <w:rFonts w:ascii="Times New Roman;serif" w:hAnsi="Times New Roman;serif"/>
          <w:b/>
          <w:i/>
          <w:sz w:val="20"/>
        </w:rPr>
        <w:t>Annual Base Salary</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named executive officers receive a base salary to compensate them for services rendered to us. The base salary payable to each named executive officer is intended to provide a fixed component of compensation reflecting the executive’s skill set, experience, role and responsibilities. Mr. Celebi’s annual base salary was $500,000 from January 1, 2022 to February 28, 2022 and was $515,000 from March 1, 2022 to December 31, 2022. Ms. Colgan’s annual base salary, which was adjusted in connection with her appointment to Chief Financial Officer effective January 2022, was $410,000 at all relevant dates in 2022. Dr. van der Horst’s annual base salary was $325,000 from January 1, 2022 to December 6, 2022 and $350,000 from December 7, 2022 to December 31, 2022 (with such increase approved in connection with his promotion to Chief Scientific Officer). Dr. Pierce's annual base salary was $450,000 at all relevant dates in 2022.</w:t>
      </w:r>
    </w:p>
    <w:p>
      <w:pPr>
        <w:pStyle w:val="TextBody"/>
        <w:bidi w:val="0"/>
        <w:spacing w:before="360" w:after="120"/>
        <w:jc w:val="left"/>
        <w:rPr>
          <w:rFonts w:ascii="Times New Roman;serif" w:hAnsi="Times New Roman;serif"/>
          <w:b/>
          <w:i/>
          <w:sz w:val="20"/>
        </w:rPr>
      </w:pPr>
      <w:r>
        <w:rPr>
          <w:rFonts w:ascii="Times New Roman;serif" w:hAnsi="Times New Roman;serif"/>
          <w:b/>
          <w:i/>
          <w:sz w:val="20"/>
        </w:rPr>
        <w:t>Annual Bonus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seek to motivate and reward our executives for achievements relative to our corporate goals and expectations and individual performance for each fiscal year. Our named executive officers are eligible to receive annual bonuses of up to a percentage of the applicable executive’s gross base salary based on performance metrics, as determined by our board of directors. For 2022, the target bonus for each of Mr. Celebi, Ms. Colgan and Dr. van der Horst was 55%, 40% and 35%, respectively, of their respective base salaries. Dr. Pierce’s target bonus was 40%, but he did not receive a bonus for 2022 because his employment ended during 2022. For 2023, the target bonus for Mr. Celebi is 55% and for each of Ms. Colgan and Dr. van der Horst is 40% of their respective base salaries. Dr. van der Horst’s target bonus percentage was increased in 2023 compared to 2022 as a result of his promotion to Chief Scientific Officer.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actual performance-based annual bonus paid, if any, has historically been calculated by multiplying the executive’s annual base salary, target bonus percentage, the percentage attainment of the corporate goals established by the Board or Compensation Committee for such year, and the percentage attainment of individual goals. However, the Compensation Committee is not required to calculate bonuses in this manner and retains discretion in the amounts it awards and the factors it takes into consideration in determining bonus amounts. After the end of the year, the Compensation Committee reviews our performance against our goals and approves the extent to which our executives achieved each of our corporate and individual goals, as applicable, and, for each named executive officer, the amount of the bonus awarded.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2022 corporate goals consisted of research and development, business development and financial objectives. In early 2023, the Compensation Committee determined that the 2022 corporate goals were achieved at a 80.5% level. After considering the achievement of the 2022 corporate goals together with individual goals where applicable, the Compensation Committee awarded Mr. Celebi, Ms. Colgan and Dr. van der Horst 80.5%, 80.5% and 84.5% of their target bonuses, respectively, for the year ended December 31, 2022. The actual bonus amounts paid are reflected in the “Non-Equity Incentive Plan Compensation” column of the Summary Compensation Table above.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connection with the approval of annual bonuses for the achievement of 2022 corporate goals, the Compensation Committee approved a one-time deviation in the method of payment of annual bonuses, pursuant to which certain members of our management team, including our named executive officers, were paid one-third of their annual bonuses in the form of RSUs in lieu of cash. The Compensation Committee approved this change in line with the belief that equity awards provide our executives with a strong link to our long-term performance, create an ownership culture, and help to align the interests of our executives and stockholders. In addition, awarding a portion of the annual bonuses in equity is anticipated to help preserve our cash for the continued development of our pipeline. The Compensation Committee effected this change for the 2022 performance period only.</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Accordingly, the Compensation Committee approved the following annual bonuses for 2022 for the Company’s named executive officers, which are based on a partial achievement of 2022 corporate goals:</w:t>
      </w:r>
    </w:p>
    <w:tbl>
      <w:tblPr>
        <w:tblW w:w="7800" w:type="dxa"/>
        <w:jc w:val="left"/>
        <w:tblInd w:w="0" w:type="dxa"/>
        <w:tblLayout w:type="fixed"/>
        <w:tblCellMar>
          <w:top w:w="28" w:type="dxa"/>
          <w:left w:w="28" w:type="dxa"/>
          <w:bottom w:w="28" w:type="dxa"/>
          <w:right w:w="28" w:type="dxa"/>
        </w:tblCellMar>
      </w:tblPr>
      <w:tblGrid>
        <w:gridCol w:w="2386"/>
        <w:gridCol w:w="146"/>
        <w:gridCol w:w="418"/>
        <w:gridCol w:w="1547"/>
        <w:gridCol w:w="146"/>
        <w:gridCol w:w="146"/>
        <w:gridCol w:w="500"/>
        <w:gridCol w:w="2320"/>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6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2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Shares of Common Stock</w:t>
            </w:r>
          </w:p>
        </w:tc>
        <w:tc>
          <w:tcPr>
            <w:tcW w:w="191" w:type="dxa"/>
            <w:tcBorders/>
            <w:vAlign w:val="center"/>
          </w:tcPr>
          <w:p>
            <w:pPr>
              <w:pStyle w:val="TableContents"/>
              <w:bidi w:val="0"/>
              <w:spacing w:before="0" w:after="0"/>
              <w:ind w:left="0" w:right="0" w:hanging="0"/>
              <w:jc w:val="center"/>
              <w:rPr/>
            </w:pPr>
            <w:r>
              <w:rPr/>
              <w:t> </w:t>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Cash (2/3 of Total Bonus)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underlying RSUs (1/3 of Total Bonus)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John Celebi</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23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51,893</w:t>
            </w:r>
          </w:p>
        </w:tc>
        <w:tc>
          <w:tcPr>
            <w:tcW w:w="191" w:type="dxa"/>
            <w:tcBorders/>
            <w:vAlign w:val="center"/>
          </w:tcPr>
          <w:p>
            <w:pPr>
              <w:pStyle w:val="TableContents"/>
              <w:bidi w:val="0"/>
              <w:spacing w:before="0" w:after="0"/>
              <w:ind w:left="0" w:right="0" w:hanging="0"/>
              <w:jc w:val="left"/>
              <w:rPr/>
            </w:pPr>
            <w:r>
              <w:rPr/>
              <w:t> </w:t>
            </w:r>
          </w:p>
        </w:tc>
      </w:tr>
      <w:tr>
        <w:trPr/>
        <w:tc>
          <w:tcPr>
            <w:tcW w:w="23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Erin Colgan</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88,453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23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30,046</w:t>
            </w:r>
          </w:p>
        </w:tc>
        <w:tc>
          <w:tcPr>
            <w:tcW w:w="191" w:type="dxa"/>
            <w:tcBorders/>
            <w:vAlign w:val="center"/>
          </w:tcPr>
          <w:p>
            <w:pPr>
              <w:pStyle w:val="TableContents"/>
              <w:bidi w:val="0"/>
              <w:spacing w:before="0" w:after="0"/>
              <w:ind w:left="0" w:right="0" w:hanging="0"/>
              <w:jc w:val="left"/>
              <w:rPr/>
            </w:pPr>
            <w:r>
              <w:rPr/>
              <w:t> </w:t>
            </w:r>
          </w:p>
        </w:tc>
      </w:tr>
      <w:tr>
        <w:trPr/>
        <w:tc>
          <w:tcPr>
            <w:tcW w:w="238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Edward van der Horst, Ph.D.</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23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23,565</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120"/>
        <w:jc w:val="both"/>
        <w:rPr>
          <w:rFonts w:ascii="Times New Roman" w:hAnsi="Times New Roman"/>
          <w:sz w:val="20"/>
        </w:rPr>
      </w:pPr>
      <w:r>
        <w:rPr>
          <w:rFonts w:ascii="Times New Roman;serif" w:hAnsi="Times New Roman;serif"/>
          <w:b w:val="false"/>
          <w:sz w:val="20"/>
        </w:rPr>
        <w:t>The RSUs were fully vested as of the grant date, February 15, 2023, and granted pursuant to the standard form of RSU grant notice and award agreement in substantially the form previously approved by the Board.</w:t>
      </w:r>
      <w:r>
        <w:rPr>
          <w:rFonts w:ascii="Times New Roman" w:hAnsi="Times New Roman"/>
          <w:sz w:val="20"/>
        </w:rPr>
        <w:t xml:space="preserve"> </w:t>
      </w:r>
    </w:p>
    <w:p>
      <w:pPr>
        <w:pStyle w:val="TextBody"/>
        <w:bidi w:val="0"/>
        <w:spacing w:before="360" w:after="120"/>
        <w:jc w:val="both"/>
        <w:rPr>
          <w:rFonts w:ascii="Times New Roman;serif" w:hAnsi="Times New Roman;serif"/>
          <w:b/>
          <w:sz w:val="20"/>
        </w:rPr>
      </w:pPr>
      <w:r>
        <w:rPr>
          <w:rFonts w:ascii="Times New Roman;serif" w:hAnsi="Times New Roman;serif"/>
          <w:b/>
          <w:sz w:val="20"/>
        </w:rPr>
        <w:t>Equity-Based Incentive Awards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equity awards provide our executives with a strong link to our long-term performance, create an ownership culture and help to align the interests of our executives and our stockholders. We believe that our equity awards are an important retention tool for our executive officers, as well as for our other employees.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award equity awards broadly to our employees. Grants to our executives and other employees are made at the discretion of our board of directors and Compensation Committee.</w:t>
      </w:r>
    </w:p>
    <w:p>
      <w:pPr>
        <w:pStyle w:val="TextBody"/>
        <w:bidi w:val="0"/>
        <w:spacing w:before="120" w:after="0"/>
        <w:jc w:val="left"/>
        <w:rPr>
          <w:rFonts w:ascii="Times New Roman" w:hAnsi="Times New Roman"/>
          <w:sz w:val="20"/>
        </w:rPr>
      </w:pPr>
      <w:r>
        <w:rPr>
          <w:rFonts w:ascii="Times New Roman;serif" w:hAnsi="Times New Roman;serif"/>
          <w:b w:val="false"/>
          <w:sz w:val="20"/>
        </w:rPr>
        <w:t>Prior to 2022, we only used stock option grants for this purpose because we believed they are an effective means by which to align the long-term interests of our executive officers with those of our stockholders. The use of stock options also can provide tax and other advantages to our executive officers relative to other forms of equity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Beginning in 2022, we introduced a mix of RSUs and stock options for compensating our employees. In January 2022, Mr. Celebi, Ms. Colgan, Dr. van der Horst and Dr. Pierce were granted annual equity grants consisting of 53,900, 21,000, 21,000 and 21,000 RSUs, respectively, and stock options to purchase 161,600 shares, 62,000 shares, 44,000 shares and 62,000 shares, respectively, each effective as of February 15, 2022. The RSUs vest in four equal installments on February 15, 2023, February 15, 2024, February 15, 2025 and February 15, 2026, subject to the officer’s continuous service as of the applicable vesting date. One-fourth of the shares underlying the stock options vest on February 15, 2023, with the remainder vesting monthly over the remaining 36 months.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For additional information about equity grants made historically to our named executive officers, please see “—Outstanding Equity Awards as of December 31, 2022” above.</w:t>
      </w:r>
    </w:p>
    <w:p>
      <w:pPr>
        <w:pStyle w:val="TextBody"/>
        <w:bidi w:val="0"/>
        <w:spacing w:before="360" w:after="120"/>
        <w:jc w:val="both"/>
        <w:rPr>
          <w:rFonts w:ascii="Times New Roman;serif" w:hAnsi="Times New Roman;serif"/>
          <w:b/>
          <w:sz w:val="20"/>
        </w:rPr>
      </w:pPr>
      <w:r>
        <w:rPr>
          <w:rFonts w:ascii="Times New Roman;serif" w:hAnsi="Times New Roman;serif"/>
          <w:b/>
          <w:sz w:val="20"/>
        </w:rPr>
        <w:t>Nonqualified Deferred Compensation</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Our named executive officers did not participate in, or earn any benefits under, a nonqualified deferred compensation plan sponsored by us during fiscal 2022.</w:t>
      </w:r>
    </w:p>
    <w:p>
      <w:pPr>
        <w:pStyle w:val="TextBody"/>
        <w:bidi w:val="0"/>
        <w:spacing w:before="360" w:after="120"/>
        <w:jc w:val="both"/>
        <w:rPr>
          <w:rFonts w:ascii="Times New Roman;serif" w:hAnsi="Times New Roman;serif"/>
          <w:b/>
          <w:sz w:val="20"/>
        </w:rPr>
      </w:pPr>
      <w:r>
        <w:rPr>
          <w:rFonts w:ascii="Times New Roman;serif" w:hAnsi="Times New Roman;serif"/>
          <w:b/>
          <w:sz w:val="20"/>
        </w:rPr>
        <w:t>Termination or Change in Control Benefits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Each of our named executive officers’ employment agreements entitles them to certain benefits upon a qualifying termination. For additional discussion, please see “Employment Agreements with our Named Executive Officers.”</w:t>
      </w:r>
    </w:p>
    <w:p>
      <w:pPr>
        <w:pStyle w:val="TextBody"/>
        <w:bidi w:val="0"/>
        <w:spacing w:before="360" w:after="120"/>
        <w:jc w:val="both"/>
        <w:rPr>
          <w:rFonts w:ascii="Times New Roman;serif" w:hAnsi="Times New Roman;serif"/>
          <w:b/>
          <w:sz w:val="20"/>
        </w:rPr>
      </w:pPr>
      <w:r>
        <w:rPr>
          <w:rFonts w:ascii="Times New Roman;serif" w:hAnsi="Times New Roman;serif"/>
          <w:b/>
          <w:sz w:val="20"/>
        </w:rPr>
        <w:t>Health and Welfare; Perquisites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All of our current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 (including Mr. Celebi’s housing and vehicle allowances and Dr. Pierce’s housing and moving allowances).</w:t>
      </w:r>
    </w:p>
    <w:p>
      <w:pPr>
        <w:pStyle w:val="TextBody"/>
        <w:bidi w:val="0"/>
        <w:spacing w:before="360" w:after="120"/>
        <w:jc w:val="both"/>
        <w:rPr>
          <w:rFonts w:ascii="Times New Roman;serif" w:hAnsi="Times New Roman;serif"/>
          <w:b/>
          <w:sz w:val="20"/>
        </w:rPr>
      </w:pPr>
      <w:r>
        <w:rPr>
          <w:rFonts w:ascii="Times New Roman;serif" w:hAnsi="Times New Roman;serif"/>
          <w:b/>
          <w:sz w:val="20"/>
        </w:rPr>
        <w:t>401(k) Plan</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We maintain a safe harbor 401(k) plan that provides eligible U.S. employees with an opportunity to save for retirement on a tax advantaged basis. Eligible employees are able to defer eligible compensation up to certain limits of the Code, which are updated annually. We have the ability to make matching and discretionary contributions to the 401(k) plan. Currently, make matching contributions or discretionary contributions to the 401(k) plan up to a maximum of 4% of such employee’s annual compensation.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pStyle w:val="TextBody"/>
        <w:bidi w:val="0"/>
        <w:spacing w:before="360" w:after="120"/>
        <w:jc w:val="both"/>
        <w:rPr>
          <w:rFonts w:ascii="Times New Roman" w:hAnsi="Times New Roman"/>
          <w:sz w:val="20"/>
        </w:rPr>
      </w:pPr>
      <w:r>
        <w:rPr>
          <w:rFonts w:ascii="Times New Roman;serif" w:hAnsi="Times New Roman;serif"/>
          <w:b/>
          <w:sz w:val="20"/>
        </w:rPr>
        <w:t>Employment Agreements with our Named Executive Officers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Below are descriptions of our employment agreements with our named executive officers. The agreements generally provide for at-will employment and set forth the named executive officer’s initial base salary, eligibility for employee benefits and severance benefits upon a qualifying termination of employment. Furthermore, each of our named executive officers has executed a form of our standard proprietary information and inventions assignment agreement. The key terms of the employment agreements with our named executive officers, including potential payments upon termination or change of control, are described below.</w:t>
      </w:r>
      <w:r>
        <w:rPr>
          <w:rFonts w:ascii="Times New Roman" w:hAnsi="Times New Roman"/>
          <w:sz w:val="20"/>
        </w:rPr>
        <w:t xml:space="preserve"> </w:t>
      </w:r>
    </w:p>
    <w:p>
      <w:pPr>
        <w:pStyle w:val="TextBody"/>
        <w:bidi w:val="0"/>
        <w:spacing w:before="360" w:after="120"/>
        <w:jc w:val="left"/>
        <w:rPr>
          <w:rFonts w:ascii="Times New Roman;serif" w:hAnsi="Times New Roman;serif"/>
          <w:b w:val="false"/>
          <w:i/>
          <w:sz w:val="20"/>
        </w:rPr>
      </w:pPr>
      <w:r>
        <w:rPr>
          <w:rFonts w:ascii="Times New Roman;serif" w:hAnsi="Times New Roman;serif"/>
          <w:b w:val="false"/>
          <w:i/>
          <w:sz w:val="20"/>
        </w:rPr>
        <w:t>Employment Agreements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entered into employment agreements with our named executive officers, which for Mr. Celebi became effective upon the closing of our initial public offering. Our employment agreement with Ms. Colgan was amended and restated effective January 1, 2022 in connection with her appointment as our Chief Financial Officer. Our employment agreement with Dr. van der Horst was most recently amended and restated effective December 7, 2022 in connection with his appointment as our Chief Scientific Officer. The agreements generally provide for at-will employment and set forth the named executive officer’s base salary, target bonus and eligibility for employee benefits and severance benefits upon a qualifying termination of employment.</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employment agreements provide that, subject to certain conditions and limitations, upon the termination of the employment of an eligible executive officer without Cause or resignation for Good Reason (each, as defined in the employment agreements) not in connection with a Change in Control (as defined in each employment agreement):</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Mr. Celebi will be eligible to receive a cash severance benefit equal to 12 months’ base salary; Ms. Colgan and Dr. van der Horst will be eligible to receive a cash severance benefit equal to nine months’ base salary; and</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each executive officer shall be eligible to receive COBRA premiums for the applicable length of the severance period as described above.</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employment agreements provide that, subject to certain conditions and limitations, upon the termination of the employment of an eligible executive officer without Cause or resignation for Good Reason (each, as defined in the employment agreements) within 12 months following a Change in Control:</w:t>
      </w:r>
    </w:p>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Mr. Celebi will be eligible to receive a cash severance benefit equal to 18 months’ base salary and 150% of his target bonus; Ms. Colgan and Dr. van der Horst will be eligible to receive a cash severance benefit equal to 12 months’ base salary and 100% of the officer’s target bonus;</w:t>
            </w:r>
          </w:p>
        </w:tc>
      </w:tr>
    </w:tbl>
    <w:tbl>
      <w:tblPr>
        <w:tblW w:w="10205" w:type="dxa"/>
        <w:jc w:val="left"/>
        <w:tblInd w:w="0" w:type="dxa"/>
        <w:tblLayout w:type="fixed"/>
        <w:tblCellMar>
          <w:top w:w="28" w:type="dxa"/>
          <w:left w:w="28" w:type="dxa"/>
          <w:bottom w:w="28" w:type="dxa"/>
          <w:right w:w="28" w:type="dxa"/>
        </w:tblCellMar>
      </w:tblPr>
      <w:tblGrid>
        <w:gridCol w:w="161"/>
        <w:gridCol w:w="109"/>
        <w:gridCol w:w="146"/>
        <w:gridCol w:w="9789"/>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78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such executive officer shall be eligible to receive COBRA premiums for the applicable length of the severance period as described above; and</w:t>
            </w:r>
          </w:p>
        </w:tc>
      </w:tr>
    </w:tbl>
    <w:p>
      <w:pPr>
        <w:pStyle w:val="TextBody"/>
        <w:bidi w:val="0"/>
        <w:spacing w:before="0" w:after="0"/>
        <w:jc w:val="left"/>
        <w:rPr/>
      </w:pPr>
      <w:r>
        <w:rPr/>
        <w:t> </w:t>
      </w:r>
    </w:p>
    <w:tbl>
      <w:tblPr>
        <w:tblW w:w="9672" w:type="dxa"/>
        <w:jc w:val="left"/>
        <w:tblInd w:w="0" w:type="dxa"/>
        <w:tblLayout w:type="fixed"/>
        <w:tblCellMar>
          <w:top w:w="28" w:type="dxa"/>
          <w:left w:w="28" w:type="dxa"/>
          <w:bottom w:w="28" w:type="dxa"/>
          <w:right w:w="28" w:type="dxa"/>
        </w:tblCellMar>
      </w:tblPr>
      <w:tblGrid>
        <w:gridCol w:w="161"/>
        <w:gridCol w:w="109"/>
        <w:gridCol w:w="146"/>
        <w:gridCol w:w="925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 unvested equity awards held by such executive officer will become immediately vested and fully exercisable.</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severance benefits described above are conditioned upon the executive officer’s execution and non-revocation of a separation agreement, including a release of claims, and compliance with certain restrictive covenants.</w:t>
      </w:r>
    </w:p>
    <w:p>
      <w:pPr>
        <w:pStyle w:val="TextBody"/>
        <w:bidi w:val="0"/>
        <w:spacing w:before="360" w:after="0"/>
        <w:jc w:val="left"/>
        <w:rPr>
          <w:rFonts w:ascii="Times New Roman" w:hAnsi="Times New Roman"/>
          <w:sz w:val="20"/>
        </w:rPr>
      </w:pPr>
      <w:r>
        <w:rPr>
          <w:rFonts w:ascii="Times New Roman;serif" w:hAnsi="Times New Roman;serif"/>
          <w:b w:val="false"/>
          <w:i/>
          <w:sz w:val="20"/>
        </w:rPr>
        <w:t>Severance Benefits for Dr. Pierce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employment agreement with Dr. Pierce became effective upon the closing of our initial public offering. In December 2022, we notified Dr. Pierce that his employment as Chief R&amp;D Officer of the Company would terminate, effective as of December 7, 2022. In accordance with his employment agreement, contingent upon Dr. Pierce’s execution of a separation agreement, including a release of claims and compliance with certain restrictive covenants, Dr. Pierce was provided severance benefits consisting of an amount equal to Dr. Pierce’s then-current salary for nine months and continued COBRA premiums for nine months.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Consulting Agreement with Dr. Pierce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to the above, in connection with Dr. Pierce's separation of employment he agreed to serve as a consultant for the Company, effective December 7, 2022. In connection therewith, we entered into a consulting agreement with Dr. Pierce’s consulting entity, pursuant to which Dr. Pierce provides consulting services to the Company (the “Consulting Agreement”), including the following compensation terms: (i) a 6-month cash retainer at $12,800 per month for up to 32 hours of consulting services per month, with an hourly rate of $400 per hour if the consulting services exceed 32 hours (the “Retainer Period”), (ii) an hourly rate of $500 per hour for up to 8 hours of consulting services per week following the Retainer Period and (iii) continued vesting of outstanding equity awards held by Dr. Pierce during the term of the Consulting Agreement, and an extension of the exercise period for Dr. Pierce’s outstanding stock options (as of the effective date of the Consulting Agreement, and to the extent then-vested and that subsequently become vested) to the latter of (A) December 7, 2025 or (B) until such time as provided for in the applicable equity plan and Dr. Pierce’s applicable option award agreement.</w:t>
      </w:r>
    </w:p>
    <w:p>
      <w:pPr>
        <w:pStyle w:val="TextBody"/>
        <w:bidi w:val="0"/>
        <w:spacing w:before="360" w:after="120"/>
        <w:jc w:val="left"/>
        <w:rPr>
          <w:rFonts w:ascii="Times New Roman;serif" w:hAnsi="Times New Roman;serif"/>
          <w:b/>
          <w:sz w:val="20"/>
        </w:rPr>
      </w:pPr>
      <w:r>
        <w:rPr>
          <w:rFonts w:ascii="Times New Roman;serif" w:hAnsi="Times New Roman;serif"/>
          <w:b/>
          <w:sz w:val="20"/>
        </w:rPr>
        <w:t>Policy on Hedging and Speculative Trading</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Our insider trading and window period policy prohibits directors, officers and employees from engaging in short sales, transactions in put or call options, hedging transactions, margin accounts or other inherently speculative transactions with respect to our stock at any time.</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center"/>
        <w:rPr>
          <w:rFonts w:ascii="Times New Roman" w:hAnsi="Times New Roman"/>
          <w:sz w:val="20"/>
        </w:rPr>
      </w:pPr>
      <w:bookmarkStart w:id="9" w:name="dir_comp"/>
      <w:bookmarkEnd w:id="9"/>
      <w:r>
        <w:rPr>
          <w:rFonts w:ascii="Times New Roman;serif" w:hAnsi="Times New Roman;serif"/>
          <w:b/>
          <w:sz w:val="20"/>
        </w:rPr>
        <w:t>DIRECTOR COMPENSATION</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following table sets forth information regarding the compensation earned or paid to our non-employee directors during the year ended December 31, 2022. John Celebi, our President and Chief Executive Officer, is also a member of our Board of Directors, but did not receive any additional compensation for his service as a director. Mr. Celebi’s compensation as an executive officer is set forth above under “Executive Compensation—Summary Compensation Table.”</w:t>
      </w:r>
    </w:p>
    <w:tbl>
      <w:tblPr>
        <w:tblW w:w="8188" w:type="dxa"/>
        <w:jc w:val="left"/>
        <w:tblInd w:w="0" w:type="dxa"/>
        <w:tblLayout w:type="fixed"/>
        <w:tblCellMar>
          <w:top w:w="28" w:type="dxa"/>
          <w:left w:w="28" w:type="dxa"/>
          <w:bottom w:w="28" w:type="dxa"/>
          <w:right w:w="28" w:type="dxa"/>
        </w:tblCellMar>
      </w:tblPr>
      <w:tblGrid>
        <w:gridCol w:w="1786"/>
        <w:gridCol w:w="146"/>
        <w:gridCol w:w="235"/>
        <w:gridCol w:w="755"/>
        <w:gridCol w:w="146"/>
        <w:gridCol w:w="146"/>
        <w:gridCol w:w="211"/>
        <w:gridCol w:w="676"/>
        <w:gridCol w:w="146"/>
        <w:gridCol w:w="146"/>
        <w:gridCol w:w="211"/>
        <w:gridCol w:w="676"/>
        <w:gridCol w:w="146"/>
        <w:gridCol w:w="146"/>
        <w:gridCol w:w="307"/>
        <w:gridCol w:w="834"/>
        <w:gridCol w:w="146"/>
        <w:gridCol w:w="146"/>
        <w:gridCol w:w="211"/>
        <w:gridCol w:w="78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Fees Earned</w:t>
              <w:br/>
              <w:t>or Paid in</w:t>
              <w:br/>
              <w:t>Cash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w:t>
              <w:br/>
              <w:t>Awards</w:t>
              <w:br/>
              <w:t>($)(1)(2)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w:t>
              <w:br/>
              <w:t>Awards</w:t>
              <w:br/>
              <w:t>($)(1)(3)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All other</w:t>
              <w:br/>
              <w:t>Compensation</w:t>
              <w:b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Sam Broder, M.D</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79,283</w:t>
            </w:r>
          </w:p>
        </w:tc>
        <w:tc>
          <w:tcPr>
            <w:tcW w:w="19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Jessie English, Ph.D.</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79,033</w:t>
            </w:r>
          </w:p>
        </w:tc>
        <w:tc>
          <w:tcPr>
            <w:tcW w:w="19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Bob Holmen</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87,410</w:t>
            </w:r>
          </w:p>
        </w:tc>
        <w:tc>
          <w:tcPr>
            <w:tcW w:w="19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Kristian Humer</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75,033</w:t>
            </w:r>
          </w:p>
        </w:tc>
        <w:tc>
          <w:tcPr>
            <w:tcW w:w="19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James Peyer, Ph.D.</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88,928</w:t>
            </w:r>
          </w:p>
        </w:tc>
        <w:tc>
          <w:tcPr>
            <w:tcW w:w="19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William Ringo (4)</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64,297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73,683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200,080</w:t>
            </w:r>
          </w:p>
        </w:tc>
        <w:tc>
          <w:tcPr>
            <w:tcW w:w="19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Tom Ricks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93,596</w:t>
            </w:r>
          </w:p>
        </w:tc>
        <w:tc>
          <w:tcPr>
            <w:tcW w:w="191" w:type="dxa"/>
            <w:tcBorders/>
            <w:vAlign w:val="center"/>
          </w:tcPr>
          <w:p>
            <w:pPr>
              <w:pStyle w:val="TableContents"/>
              <w:bidi w:val="0"/>
              <w:spacing w:before="0" w:after="0"/>
              <w:ind w:left="0" w:right="0" w:hanging="0"/>
              <w:jc w:val="left"/>
              <w:rPr/>
            </w:pPr>
            <w:r>
              <w:rPr/>
              <w:t> </w:t>
            </w:r>
          </w:p>
        </w:tc>
      </w:tr>
      <w:tr>
        <w:trPr/>
        <w:tc>
          <w:tcPr>
            <w:tcW w:w="1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Deneen Vojta, M.D.</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81,610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left"/>
        <w:rPr>
          <w:rFonts w:ascii="Times New Roman" w:hAnsi="Times New Roman"/>
          <w:b w:val="false"/>
          <w:sz w:val="20"/>
        </w:rPr>
      </w:pPr>
      <w:r>
        <w:rPr>
          <w:rFonts w:ascii="Times New Roman" w:hAnsi="Times New Roman"/>
          <w:b w:val="false"/>
          <w:sz w:val="20"/>
        </w:rPr>
        <w:t>(1)</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xml:space="preserve">Amounts reported represent the aggregate grant date fair value of option awards granted to our directors during 2022 under our 2021 Plan, computed in accordance with ASC Topic 718. The assumptions used in calculating the grant date fair value of the awards reported in this column are set forth in the notes to our audited consolidated financial statements included in our Form 10-K, filed with the SEC on March 29, 2023. These amounts do not reflect the actual economic value that may be realized by the non-employee director. </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Represents (other than for Mr. Ringo) 4,466 RSUs granted on June 10, 2022, and for Mr. Ringo 18,933 RSUs granted on March 8, 2022. As of December 31, 2022, Dr. Broder, Dr. English, Mr. Holmen, Mr. Humer, Dr. Peyer, Mr. Ricks and Dr. Vojta each held 4,466 RSUs and Mr. Ringo held 18,933 RSUs.</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Represents (other than for Mr. Ringo) an option to purchase 14,550 shares of our common stock granted on June 10, 2022 at an exercise price of $2.05 per share, and for Mr. Ringo an option to purchase 29,100 shares of our common stock granted on March 8, 2022, at an exercise price of $3.08 per share. As of December 31, 2022, Dr. Broder, Dr. English, Mr. Holmen, Mr. Humer, Dr. Peyer, Mr. Ringo, Mr. Ricks and Dr. Vojta held options to purchase 51,361, 31,217, 74,361, 31,217, 50,736, 29,100, 51,986 and 31,216 shares of our common stock, respectively.</w:t>
      </w:r>
    </w:p>
    <w:p>
      <w:pPr>
        <w:pStyle w:val="TextBody"/>
        <w:bidi w:val="0"/>
        <w:spacing w:before="0" w:after="0"/>
        <w:jc w:val="left"/>
        <w:rPr>
          <w:rFonts w:ascii="Times New Roman" w:hAnsi="Times New Roman"/>
          <w:b w:val="false"/>
          <w:sz w:val="20"/>
        </w:rPr>
      </w:pPr>
      <w:r>
        <w:rPr>
          <w:rFonts w:ascii="Times New Roman" w:hAnsi="Times New Roman"/>
          <w:b w:val="false"/>
          <w:sz w:val="20"/>
        </w:rPr>
        <w:t>(4)</w:t>
      </w:r>
    </w:p>
    <w:p>
      <w:pPr>
        <w:pStyle w:val="TextBody"/>
        <w:bidi w:val="0"/>
        <w:jc w:val="left"/>
        <w:rPr>
          <w:rFonts w:ascii="Times New Roman;serif" w:hAnsi="Times New Roman;serif"/>
          <w:b w:val="false"/>
          <w:sz w:val="20"/>
        </w:rPr>
      </w:pPr>
      <w:r>
        <w:rPr>
          <w:rFonts w:ascii="Times New Roman;serif" w:hAnsi="Times New Roman;serif"/>
          <w:b w:val="false"/>
          <w:sz w:val="20"/>
        </w:rPr>
        <w:t>Mr. Ringo joined our board of directors in March 2022.</w:t>
      </w:r>
    </w:p>
    <w:p>
      <w:pPr>
        <w:pStyle w:val="TextBody"/>
        <w:bidi w:val="0"/>
        <w:spacing w:before="360" w:after="120"/>
        <w:jc w:val="left"/>
        <w:rPr>
          <w:rFonts w:ascii="Times New Roman;serif" w:hAnsi="Times New Roman;serif"/>
          <w:b/>
          <w:sz w:val="20"/>
        </w:rPr>
      </w:pPr>
      <w:r>
        <w:rPr>
          <w:rFonts w:ascii="Times New Roman;serif" w:hAnsi="Times New Roman;serif"/>
          <w:b/>
          <w:sz w:val="20"/>
        </w:rPr>
        <w:t>Non-Employee Director Compensation Policy</w:t>
      </w:r>
    </w:p>
    <w:p>
      <w:pPr>
        <w:pStyle w:val="TextBody"/>
        <w:bidi w:val="0"/>
        <w:spacing w:before="240" w:after="120"/>
        <w:jc w:val="both"/>
        <w:rPr>
          <w:rFonts w:ascii="Times New Roman;serif" w:hAnsi="Times New Roman;serif"/>
          <w:b w:val="false"/>
          <w:i/>
          <w:sz w:val="20"/>
        </w:rPr>
      </w:pPr>
      <w:r>
        <w:rPr>
          <w:rFonts w:ascii="Times New Roman;serif" w:hAnsi="Times New Roman;serif"/>
          <w:b w:val="false"/>
          <w:i/>
          <w:sz w:val="20"/>
        </w:rPr>
        <w:t>2022 Non-Employee Director Compensation Policy</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Following recommendation from the compensation committee, in April 2022 our Board of Directors amended our non-employee director compensation policy. As amended, each such non-employee director receives the compensation described below for service on our board of directors:</w:t>
      </w:r>
    </w:p>
    <w:p>
      <w:pPr>
        <w:pStyle w:val="TextBody"/>
        <w:bidi w:val="0"/>
        <w:spacing w:before="120" w:after="120"/>
        <w:jc w:val="both"/>
        <w:rPr>
          <w:rFonts w:ascii="Times New Roman" w:hAnsi="Times New Roman"/>
          <w:sz w:val="20"/>
        </w:rPr>
      </w:pPr>
      <w:r>
        <w:rPr>
          <w:rFonts w:ascii="Times New Roman;serif" w:hAnsi="Times New Roman;serif"/>
          <w:b w:val="false"/>
          <w:i/>
          <w:sz w:val="20"/>
        </w:rPr>
        <w:t>Cash compensation</w:t>
      </w:r>
      <w:r>
        <w:rPr>
          <w:rFonts w:ascii="Times New Roman;serif" w:hAnsi="Times New Roman;serif"/>
          <w:b w:val="false"/>
          <w:sz w:val="20"/>
        </w:rPr>
        <w:t>. We pay each of our non-employee directors cash retainers for service on our board of directors and committees of our board of directors as follows:</w:t>
      </w:r>
      <w:r>
        <w:rPr>
          <w:rFonts w:ascii="Times New Roman" w:hAnsi="Times New Roman"/>
          <w:sz w:val="20"/>
        </w:rPr>
        <w:t xml:space="preserve"> </w:t>
      </w:r>
    </w:p>
    <w:tbl>
      <w:tblPr>
        <w:tblW w:w="10034" w:type="dxa"/>
        <w:jc w:val="left"/>
        <w:tblInd w:w="0" w:type="dxa"/>
        <w:tblLayout w:type="fixed"/>
        <w:tblCellMar>
          <w:top w:w="28" w:type="dxa"/>
          <w:left w:w="28" w:type="dxa"/>
          <w:bottom w:w="28" w:type="dxa"/>
          <w:right w:w="28" w:type="dxa"/>
        </w:tblCellMar>
      </w:tblPr>
      <w:tblGrid>
        <w:gridCol w:w="7486"/>
        <w:gridCol w:w="146"/>
        <w:gridCol w:w="146"/>
        <w:gridCol w:w="349"/>
        <w:gridCol w:w="1616"/>
        <w:gridCol w:w="291"/>
      </w:tblGrid>
      <w:tr>
        <w:trPr/>
        <w:tc>
          <w:tcPr>
            <w:tcW w:w="7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5" w:type="dxa"/>
            <w:gridSpan w:val="2"/>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r>
      <w:tr>
        <w:trPr/>
        <w:tc>
          <w:tcPr>
            <w:tcW w:w="74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6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Annual Cash Retainer ($)</w:t>
            </w:r>
          </w:p>
        </w:tc>
        <w:tc>
          <w:tcPr>
            <w:tcW w:w="291" w:type="dxa"/>
            <w:tcBorders/>
            <w:vAlign w:val="center"/>
          </w:tcPr>
          <w:p>
            <w:pPr>
              <w:pStyle w:val="TableContents"/>
              <w:bidi w:val="0"/>
              <w:spacing w:before="0" w:after="0"/>
              <w:ind w:left="0" w:right="0" w:firstLine="100"/>
              <w:jc w:val="center"/>
              <w:rPr/>
            </w:pPr>
            <w:r>
              <w:rPr/>
              <w:t> </w:t>
            </w:r>
          </w:p>
        </w:tc>
      </w:tr>
      <w:tr>
        <w:trPr/>
        <w:tc>
          <w:tcPr>
            <w:tcW w:w="74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Annual retainer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1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291" w:type="dxa"/>
            <w:tcBorders/>
            <w:vAlign w:val="center"/>
          </w:tcPr>
          <w:p>
            <w:pPr>
              <w:pStyle w:val="TableContents"/>
              <w:bidi w:val="0"/>
              <w:spacing w:before="0" w:after="0"/>
              <w:ind w:left="0" w:right="0" w:firstLine="100"/>
              <w:jc w:val="left"/>
              <w:rPr/>
            </w:pPr>
            <w:r>
              <w:rPr/>
              <w:t> </w:t>
            </w:r>
          </w:p>
        </w:tc>
      </w:tr>
      <w:tr>
        <w:trPr/>
        <w:tc>
          <w:tcPr>
            <w:tcW w:w="74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independent chair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1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291" w:type="dxa"/>
            <w:tcBorders/>
            <w:vAlign w:val="center"/>
          </w:tcPr>
          <w:p>
            <w:pPr>
              <w:pStyle w:val="TableContents"/>
              <w:bidi w:val="0"/>
              <w:spacing w:before="0" w:after="0"/>
              <w:ind w:left="0" w:right="0" w:firstLine="100"/>
              <w:jc w:val="left"/>
              <w:rPr/>
            </w:pPr>
            <w:r>
              <w:rPr/>
              <w:t> </w:t>
            </w:r>
          </w:p>
        </w:tc>
      </w:tr>
      <w:tr>
        <w:trPr/>
        <w:tc>
          <w:tcPr>
            <w:tcW w:w="74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audit committee chair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1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291" w:type="dxa"/>
            <w:tcBorders/>
            <w:vAlign w:val="center"/>
          </w:tcPr>
          <w:p>
            <w:pPr>
              <w:pStyle w:val="TableContents"/>
              <w:bidi w:val="0"/>
              <w:spacing w:before="0" w:after="0"/>
              <w:ind w:left="0" w:right="0" w:firstLine="100"/>
              <w:jc w:val="left"/>
              <w:rPr/>
            </w:pPr>
            <w:r>
              <w:rPr/>
              <w:t> </w:t>
            </w:r>
          </w:p>
        </w:tc>
      </w:tr>
      <w:tr>
        <w:trPr/>
        <w:tc>
          <w:tcPr>
            <w:tcW w:w="74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audit committee non-chair member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1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291" w:type="dxa"/>
            <w:tcBorders/>
            <w:vAlign w:val="center"/>
          </w:tcPr>
          <w:p>
            <w:pPr>
              <w:pStyle w:val="TableContents"/>
              <w:bidi w:val="0"/>
              <w:spacing w:before="0" w:after="0"/>
              <w:ind w:left="0" w:right="0" w:firstLine="100"/>
              <w:jc w:val="left"/>
              <w:rPr/>
            </w:pPr>
            <w:r>
              <w:rPr/>
              <w:t> </w:t>
            </w:r>
          </w:p>
        </w:tc>
      </w:tr>
      <w:tr>
        <w:trPr/>
        <w:tc>
          <w:tcPr>
            <w:tcW w:w="74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compensation committee chair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1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291" w:type="dxa"/>
            <w:tcBorders/>
            <w:vAlign w:val="center"/>
          </w:tcPr>
          <w:p>
            <w:pPr>
              <w:pStyle w:val="TableContents"/>
              <w:bidi w:val="0"/>
              <w:spacing w:before="0" w:after="0"/>
              <w:ind w:left="0" w:right="0" w:firstLine="100"/>
              <w:jc w:val="left"/>
              <w:rPr/>
            </w:pPr>
            <w:r>
              <w:rPr/>
              <w:t> </w:t>
            </w:r>
          </w:p>
        </w:tc>
      </w:tr>
      <w:tr>
        <w:trPr/>
        <w:tc>
          <w:tcPr>
            <w:tcW w:w="74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compensation committee non-chair member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1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291" w:type="dxa"/>
            <w:tcBorders/>
            <w:vAlign w:val="center"/>
          </w:tcPr>
          <w:p>
            <w:pPr>
              <w:pStyle w:val="TableContents"/>
              <w:bidi w:val="0"/>
              <w:spacing w:before="0" w:after="0"/>
              <w:ind w:left="0" w:right="0" w:firstLine="100"/>
              <w:jc w:val="left"/>
              <w:rPr/>
            </w:pPr>
            <w:r>
              <w:rPr/>
              <w:t> </w:t>
            </w:r>
          </w:p>
        </w:tc>
      </w:tr>
      <w:tr>
        <w:trPr/>
        <w:tc>
          <w:tcPr>
            <w:tcW w:w="74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nominating and corporate governance committee chair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1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8,000</w:t>
            </w:r>
          </w:p>
        </w:tc>
        <w:tc>
          <w:tcPr>
            <w:tcW w:w="291" w:type="dxa"/>
            <w:tcBorders/>
            <w:vAlign w:val="center"/>
          </w:tcPr>
          <w:p>
            <w:pPr>
              <w:pStyle w:val="TableContents"/>
              <w:bidi w:val="0"/>
              <w:spacing w:before="0" w:after="0"/>
              <w:ind w:left="0" w:right="0" w:firstLine="100"/>
              <w:jc w:val="left"/>
              <w:rPr/>
            </w:pPr>
            <w:r>
              <w:rPr/>
              <w:t> </w:t>
            </w:r>
          </w:p>
        </w:tc>
      </w:tr>
      <w:tr>
        <w:trPr/>
        <w:tc>
          <w:tcPr>
            <w:tcW w:w="74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nominating and corporate governance committee non-chair member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1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w:t>
            </w:r>
          </w:p>
        </w:tc>
        <w:tc>
          <w:tcPr>
            <w:tcW w:w="291" w:type="dxa"/>
            <w:tcBorders/>
            <w:vAlign w:val="center"/>
          </w:tcPr>
          <w:p>
            <w:pPr>
              <w:pStyle w:val="TableContents"/>
              <w:bidi w:val="0"/>
              <w:spacing w:before="0" w:after="0"/>
              <w:ind w:left="0" w:right="0" w:firstLine="100"/>
              <w:jc w:val="left"/>
              <w:rPr/>
            </w:pPr>
            <w:r>
              <w:rPr/>
              <w:t> </w:t>
            </w:r>
          </w:p>
        </w:tc>
      </w:tr>
      <w:tr>
        <w:trPr/>
        <w:tc>
          <w:tcPr>
            <w:tcW w:w="74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science and technology committee chair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1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291" w:type="dxa"/>
            <w:tcBorders/>
            <w:vAlign w:val="center"/>
          </w:tcPr>
          <w:p>
            <w:pPr>
              <w:pStyle w:val="TableContents"/>
              <w:bidi w:val="0"/>
              <w:spacing w:before="0" w:after="0"/>
              <w:ind w:left="0" w:right="0" w:firstLine="100"/>
              <w:jc w:val="left"/>
              <w:rPr/>
            </w:pPr>
            <w:r>
              <w:rPr/>
              <w:t> </w:t>
            </w:r>
          </w:p>
        </w:tc>
      </w:tr>
      <w:tr>
        <w:trPr/>
        <w:tc>
          <w:tcPr>
            <w:tcW w:w="748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Additional retainer for science and technology committee non-chair member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9" w:type="dxa"/>
            <w:tcBorders/>
            <w:vAlign w:val="center"/>
          </w:tcPr>
          <w:p>
            <w:pPr>
              <w:pStyle w:val="TableContents"/>
              <w:bidi w:val="0"/>
              <w:spacing w:before="0" w:after="0"/>
              <w:ind w:left="0" w:right="0" w:hanging="0"/>
              <w:jc w:val="left"/>
              <w:rPr/>
            </w:pPr>
            <w:r>
              <w:rPr/>
              <w:t> </w:t>
            </w:r>
          </w:p>
        </w:tc>
        <w:tc>
          <w:tcPr>
            <w:tcW w:w="1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2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i/>
          <w:sz w:val="20"/>
        </w:rPr>
        <w:t>Initial equity award</w:t>
      </w:r>
      <w:r>
        <w:rPr>
          <w:rFonts w:ascii="Times New Roman;serif" w:hAnsi="Times New Roman;serif"/>
          <w:b w:val="false"/>
          <w:sz w:val="20"/>
        </w:rPr>
        <w:t>. Each new non-employee director elected or appointed to our board of directors will be granted (i) an option to purchase 29,100 shares of our common stock, vesting in 36 substantially equal monthly installments following the grant date, and (ii) 8,933 RSUs, vesting in equal annual installments over a three year period following the grant date.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if an independent chair is elected or appointed to the Board, the independent chair will be granted an additional 10,000 RSUs, vesting in full on the first anniversary of the date of grant.</w:t>
      </w:r>
    </w:p>
    <w:p>
      <w:pPr>
        <w:pStyle w:val="TextBody"/>
        <w:bidi w:val="0"/>
        <w:spacing w:before="120" w:after="0"/>
        <w:jc w:val="left"/>
        <w:rPr>
          <w:rFonts w:ascii="Times New Roman" w:hAnsi="Times New Roman"/>
          <w:sz w:val="20"/>
        </w:rPr>
      </w:pPr>
      <w:r>
        <w:rPr>
          <w:rFonts w:ascii="Times New Roman;serif" w:hAnsi="Times New Roman;serif"/>
          <w:b w:val="false"/>
          <w:i/>
          <w:sz w:val="20"/>
        </w:rPr>
        <w:t>Annual equity awards</w:t>
      </w:r>
      <w:r>
        <w:rPr>
          <w:rFonts w:ascii="Times New Roman;serif" w:hAnsi="Times New Roman;serif"/>
          <w:b w:val="false"/>
          <w:sz w:val="20"/>
        </w:rPr>
        <w:t>. On the date of each annual meeting of stockholders of our company, each non-employee director who has served as a non-employee director for at least six months prior to such stockholder meeting and who will continue to serve on our board of directors will be granted (i) an option to purchase 14,550 shares of our common stock, vesting in monthly installments such that the option is fully vested on the earlier of the first anniversary of the grant date or the date of our next annual stockholder meeting, and (ii) 4,466 RSUs, vesting in full on the first anniversary of the date of grant.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equity awards held by a non-employee director will vest in full upon a change in control.</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center"/>
        <w:rPr>
          <w:rFonts w:ascii="Times New Roman" w:hAnsi="Times New Roman"/>
          <w:sz w:val="20"/>
        </w:rPr>
      </w:pPr>
      <w:bookmarkStart w:id="10" w:name="eqty_comp"/>
      <w:bookmarkEnd w:id="10"/>
      <w:r>
        <w:rPr>
          <w:rFonts w:ascii="Times New Roman;serif" w:hAnsi="Times New Roman;serif"/>
          <w:b/>
          <w:sz w:val="20"/>
        </w:rPr>
        <w:t>EQUITY COMPENSATION PLAN INFORMATION</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shows information regarding our equity compensation plans in effect as of December 31, 2022.</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926"/>
        <w:gridCol w:w="146"/>
        <w:gridCol w:w="213"/>
        <w:gridCol w:w="1360"/>
        <w:gridCol w:w="146"/>
        <w:gridCol w:w="313"/>
        <w:gridCol w:w="478"/>
        <w:gridCol w:w="1056"/>
        <w:gridCol w:w="146"/>
        <w:gridCol w:w="313"/>
        <w:gridCol w:w="216"/>
        <w:gridCol w:w="1384"/>
        <w:gridCol w:w="146"/>
        <w:gridCol w:w="362"/>
      </w:tblGrid>
      <w:tr>
        <w:trPr/>
        <w:tc>
          <w:tcPr>
            <w:tcW w:w="3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39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Plan Category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securities to</w:t>
              <w:br/>
              <w:t>be issued upon exercise</w:t>
              <w:br/>
              <w:t>of outstanding options,</w:t>
              <w:br/>
              <w:t>warrants and rights</w:t>
              <w:br/>
              <w:t>(a)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15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Weighted-average</w:t>
              <w:br/>
              <w:t>exercise price of</w:t>
              <w:br/>
              <w:t>outstanding options,</w:t>
              <w:br/>
              <w:t>warrants and rights</w:t>
              <w:br/>
              <w:t>(b)</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3" w:type="dxa"/>
            <w:tcBorders/>
            <w:vAlign w:val="center"/>
          </w:tcPr>
          <w:p>
            <w:pPr>
              <w:pStyle w:val="TableContents"/>
              <w:bidi w:val="0"/>
              <w:spacing w:before="0" w:after="0"/>
              <w:ind w:left="0" w:right="0" w:hanging="0"/>
              <w:jc w:val="left"/>
              <w:rPr/>
            </w:pPr>
            <w:r>
              <w:rPr/>
              <w:t> </w:t>
            </w:r>
          </w:p>
        </w:tc>
        <w:tc>
          <w:tcPr>
            <w:tcW w:w="16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securities</w:t>
              <w:br/>
              <w:t>remaining available for</w:t>
              <w:br/>
              <w:t>future issuance under</w:t>
              <w:br/>
              <w:t>equity compensation</w:t>
              <w:br/>
              <w:t>plans (excluding</w:t>
              <w:br/>
              <w:t>securities reflected in</w:t>
              <w:br/>
              <w:t>column (a))</w:t>
              <w:br/>
              <w:t>(c)</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62" w:type="dxa"/>
            <w:tcBorders/>
            <w:vAlign w:val="center"/>
          </w:tcPr>
          <w:p>
            <w:pPr>
              <w:pStyle w:val="TableContents"/>
              <w:bidi w:val="0"/>
              <w:spacing w:before="0" w:after="0"/>
              <w:ind w:left="0" w:right="0" w:hanging="0"/>
              <w:jc w:val="left"/>
              <w:rPr/>
            </w:pPr>
            <w:r>
              <w:rPr/>
              <w:t> </w:t>
            </w:r>
          </w:p>
        </w:tc>
      </w:tr>
      <w:tr>
        <w:trPr/>
        <w:tc>
          <w:tcPr>
            <w:tcW w:w="3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plans approved by security holders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3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3,549,288</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4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216" w:type="dxa"/>
            <w:tcBorders/>
            <w:vAlign w:val="center"/>
          </w:tcPr>
          <w:p>
            <w:pPr>
              <w:pStyle w:val="TableContents"/>
              <w:bidi w:val="0"/>
              <w:spacing w:before="0" w:after="0"/>
              <w:ind w:left="0" w:right="0" w:hanging="0"/>
              <w:jc w:val="left"/>
              <w:rPr/>
            </w:pPr>
            <w:r>
              <w:rPr/>
              <w:t> </w:t>
            </w:r>
          </w:p>
        </w:tc>
        <w:tc>
          <w:tcPr>
            <w:tcW w:w="13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3,138,831</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w:t>
            </w:r>
          </w:p>
        </w:tc>
      </w:tr>
      <w:tr>
        <w:trPr/>
        <w:tc>
          <w:tcPr>
            <w:tcW w:w="3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plans not approved by security holders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3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469,266</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4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9.46</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138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left"/>
              <w:rPr/>
            </w:pPr>
            <w:r>
              <w:rPr/>
              <w:t> </w:t>
            </w:r>
          </w:p>
        </w:tc>
      </w:tr>
      <w:tr>
        <w:trPr/>
        <w:tc>
          <w:tcPr>
            <w:tcW w:w="39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3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4,018,554</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153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13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3,138,831</w:t>
            </w:r>
          </w:p>
        </w:tc>
        <w:tc>
          <w:tcPr>
            <w:tcW w:w="146" w:type="dxa"/>
            <w:tcBorders/>
            <w:vAlign w:val="center"/>
          </w:tcPr>
          <w:p>
            <w:pPr>
              <w:pStyle w:val="TableContents"/>
              <w:bidi w:val="0"/>
              <w:spacing w:before="0" w:after="0"/>
              <w:ind w:left="0" w:right="0" w:hanging="0"/>
              <w:jc w:val="left"/>
              <w:rPr/>
            </w:pPr>
            <w:r>
              <w:rPr/>
              <w:t> </w:t>
            </w:r>
          </w:p>
        </w:tc>
        <w:tc>
          <w:tcPr>
            <w:tcW w:w="362"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Includes shares issuable upon exercise of outstanding options under our 2018 Plan and 2021 Plan.</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weighted average exercise price is calculated based solely on outstanding stock options. It does not take into account the shares of common stock underlying RSUs, which have no exercise price. There are no warrants outstanding under our equity compensation plans.</w:t>
      </w:r>
    </w:p>
    <w:p>
      <w:pPr>
        <w:pStyle w:val="TextBody"/>
        <w:bidi w:val="0"/>
        <w:spacing w:before="0" w:after="0"/>
        <w:jc w:val="left"/>
        <w:rPr>
          <w:rFonts w:ascii="Times New Roman" w:hAnsi="Times New Roman"/>
          <w:b w:val="false"/>
          <w:sz w:val="20"/>
        </w:rPr>
      </w:pPr>
      <w:r>
        <w:rPr>
          <w:rFonts w:ascii="Times New Roman" w:hAnsi="Times New Roman"/>
          <w:b w:val="false"/>
          <w:sz w:val="20"/>
        </w:rPr>
        <w:t>(3)</w:t>
      </w:r>
    </w:p>
    <w:p>
      <w:pPr>
        <w:pStyle w:val="TextBody"/>
        <w:bidi w:val="0"/>
        <w:jc w:val="left"/>
        <w:rPr>
          <w:rFonts w:ascii="Times New Roman;serif" w:hAnsi="Times New Roman;serif"/>
          <w:b w:val="false"/>
          <w:sz w:val="20"/>
        </w:rPr>
      </w:pPr>
      <w:r>
        <w:rPr>
          <w:rFonts w:ascii="Times New Roman;serif" w:hAnsi="Times New Roman;serif"/>
          <w:b w:val="false"/>
          <w:sz w:val="20"/>
        </w:rPr>
        <w:t>Consists of shares available under the 2021 Plan and our 2021 Employee Stock Purchase Plan (the “ESPP”) as of December 31, 2022. On January 1 of each year, the number of shares reserved under the 2021 Plan and the ESPP is automatically increased by 4.0% and 1.0%, respectively, of the total number of shares of common stock that are outstanding at that time, or a lesser number of shares as may be determined by our board of directors. In December 2022, with respect to the 2021 Plan only the board of directors determined that the automatic increase of available shares for calendar year 2023 would be reduced from 4.0% to 1.0% of the Company's capital stock. As a result, an additional 307,641 shares and 307,641 shares were added to the number of available shares under the 2021 Plan and ESPP, respectively, effective January 1, 2023.</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center"/>
        <w:rPr>
          <w:rFonts w:ascii="Times New Roman" w:hAnsi="Times New Roman"/>
          <w:sz w:val="20"/>
        </w:rPr>
      </w:pPr>
      <w:bookmarkStart w:id="11" w:name="rltd_party"/>
      <w:bookmarkEnd w:id="11"/>
      <w:r>
        <w:rPr>
          <w:rFonts w:ascii="Times New Roman;serif" w:hAnsi="Times New Roman;serif"/>
          <w:b/>
          <w:sz w:val="20"/>
        </w:rPr>
        <w:t>TRANSACTIONS WITH RELATED PERSONS</w:t>
      </w:r>
      <w:r>
        <w:rPr>
          <w:rFonts w:ascii="Times New Roman" w:hAnsi="Times New Roman"/>
          <w:sz w:val="20"/>
        </w:rPr>
        <w:t xml:space="preserve"> </w:t>
      </w:r>
    </w:p>
    <w:p>
      <w:pPr>
        <w:pStyle w:val="TextBody"/>
        <w:bidi w:val="0"/>
        <w:spacing w:before="360" w:after="120"/>
        <w:jc w:val="left"/>
        <w:rPr>
          <w:rFonts w:ascii="Times New Roman" w:hAnsi="Times New Roman"/>
          <w:sz w:val="20"/>
        </w:rPr>
      </w:pPr>
      <w:r>
        <w:rPr>
          <w:rFonts w:ascii="Times New Roman;serif" w:hAnsi="Times New Roman;serif"/>
          <w:b/>
          <w:sz w:val="20"/>
        </w:rPr>
        <w:t>Related-Person Transactions Policy and Procedures</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We have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 but not limited to:</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risks, costs and benefits to us;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impact on a director’s independence in the event that the related person is a director, immediate family member of a director or an entity with which a director is affiliated;</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availability of other sources for comparable services or products;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the terms available to or from, as the case may be, unrelated third parties or to or from employees generally.</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pStyle w:val="TextBody"/>
        <w:bidi w:val="0"/>
        <w:spacing w:before="360" w:after="120"/>
        <w:jc w:val="both"/>
        <w:rPr>
          <w:rFonts w:ascii="Times New Roman" w:hAnsi="Times New Roman"/>
          <w:sz w:val="20"/>
        </w:rPr>
      </w:pPr>
      <w:r>
        <w:rPr>
          <w:rFonts w:ascii="Times New Roman;serif" w:hAnsi="Times New Roman;serif"/>
          <w:b/>
          <w:sz w:val="20"/>
        </w:rPr>
        <w:t>Certain Related Party Transactions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Except as described below, there have been no transactions since January 1, 2021 to which we have been a participant in which the amount involved exceeded or will exceed $120,000 or, during such time as we qualify as a “smaller reporting company,” the lesser of (1) $120,000 or (2) 1% of the average of our total assets for the last two completed years, and in which any of our then directors, executive officers or holders of more than 5% of our common stock at the time of such transaction, or any members of their immediate family, had or will have a direct or indirect material interest, other than compensation arrangements which are described in “Executive Compensation” and “Director Compensation Table.”</w:t>
      </w:r>
    </w:p>
    <w:p>
      <w:pPr>
        <w:pStyle w:val="TextBody"/>
        <w:bidi w:val="0"/>
        <w:spacing w:before="360" w:after="0"/>
        <w:jc w:val="left"/>
        <w:rPr>
          <w:rFonts w:ascii="Times New Roman" w:hAnsi="Times New Roman"/>
          <w:sz w:val="20"/>
        </w:rPr>
      </w:pPr>
      <w:r>
        <w:rPr>
          <w:rFonts w:ascii="Times New Roman;serif" w:hAnsi="Times New Roman;serif"/>
          <w:b/>
          <w:i/>
          <w:sz w:val="20"/>
        </w:rPr>
        <w:t>Series BB Convertible Preferred Stock 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December 2020 through January 2021, we issued an aggregate of 165,956,208 shares of our Series BB convertible preferred stock at a purchase price of $0.207383 per share for an aggregate gross proceeds of $34.4 million in cash. The following table</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summarizes purchases of convertible preferred stock by holders of more than five percent of our voting securities and their affiliated entities, our directors and our executive officers.</w:t>
      </w:r>
      <w:r>
        <w:rPr>
          <w:rFonts w:ascii="Times New Roman" w:hAnsi="Times New Roman"/>
          <w:sz w:val="20"/>
        </w:rPr>
        <w:t xml:space="preserve"> </w:t>
      </w:r>
    </w:p>
    <w:tbl>
      <w:tblPr>
        <w:tblW w:w="7189" w:type="dxa"/>
        <w:jc w:val="left"/>
        <w:tblInd w:w="0" w:type="dxa"/>
        <w:tblLayout w:type="fixed"/>
        <w:tblCellMar>
          <w:top w:w="28" w:type="dxa"/>
          <w:left w:w="28" w:type="dxa"/>
          <w:bottom w:w="28" w:type="dxa"/>
          <w:right w:w="28" w:type="dxa"/>
        </w:tblCellMar>
      </w:tblPr>
      <w:tblGrid>
        <w:gridCol w:w="4516"/>
        <w:gridCol w:w="146"/>
        <w:gridCol w:w="270"/>
        <w:gridCol w:w="1920"/>
        <w:gridCol w:w="146"/>
        <w:gridCol w:w="1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vAlign w:val="center"/>
          </w:tcPr>
          <w:p>
            <w:pPr>
              <w:pStyle w:val="TableContents"/>
              <w:bidi w:val="0"/>
              <w:spacing w:before="0" w:after="0"/>
              <w:ind w:left="0" w:right="0" w:hanging="0"/>
              <w:jc w:val="left"/>
              <w:rPr>
                <w:rFonts w:cs="Times New Roman;serif"/>
                <w:bCs/>
                <w:szCs w:val="16"/>
              </w:rPr>
            </w:pPr>
            <w:r>
              <w:rPr>
                <w:rFonts w:cs="Times New Roman;serif"/>
                <w:bCs/>
                <w:szCs w:val="16"/>
              </w:rPr>
              <w:t>﻿</w:t>
            </w:r>
          </w:p>
        </w:tc>
        <w:tc>
          <w:tcPr>
            <w:tcW w:w="2190"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Series BB Preferred Stock(1)</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rFonts w:cs="Times New Roman;serif"/>
                <w:bCs/>
                <w:szCs w:val="16"/>
              </w:rPr>
            </w:pPr>
            <w:r>
              <w:rPr>
                <w:rFonts w:cs="Times New Roman;serif"/>
                <w:bCs/>
                <w:szCs w:val="16"/>
              </w:rPr>
              <w:t>﻿</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Cambrian BioPharma, Inc.</w:t>
            </w:r>
          </w:p>
        </w:tc>
        <w:tc>
          <w:tcPr>
            <w:tcW w:w="146"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c>
          <w:tcPr>
            <w:tcW w:w="270" w:type="dxa"/>
            <w:tcBorders/>
            <w:vAlign w:val="center"/>
          </w:tcPr>
          <w:p>
            <w:pPr>
              <w:pStyle w:val="TableContents"/>
              <w:bidi w:val="0"/>
              <w:spacing w:before="0" w:after="0"/>
              <w:ind w:left="0" w:right="0" w:hanging="0"/>
              <w:jc w:val="left"/>
              <w:rPr/>
            </w:pPr>
            <w:r>
              <w:rPr/>
              <w:t> </w:t>
            </w:r>
          </w:p>
        </w:tc>
        <w:tc>
          <w:tcPr>
            <w:tcW w:w="1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4,821,996</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Entities affiliated with Future Ventures</w:t>
            </w:r>
          </w:p>
        </w:tc>
        <w:tc>
          <w:tcPr>
            <w:tcW w:w="146"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c>
          <w:tcPr>
            <w:tcW w:w="270" w:type="dxa"/>
            <w:tcBorders/>
            <w:vAlign w:val="center"/>
          </w:tcPr>
          <w:p>
            <w:pPr>
              <w:pStyle w:val="TableContents"/>
              <w:bidi w:val="0"/>
              <w:spacing w:before="0" w:after="0"/>
              <w:ind w:left="0" w:right="0" w:hanging="0"/>
              <w:jc w:val="left"/>
              <w:rPr/>
            </w:pPr>
            <w:r>
              <w:rPr/>
              <w:t> </w:t>
            </w:r>
          </w:p>
        </w:tc>
        <w:tc>
          <w:tcPr>
            <w:tcW w:w="1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8,679,592</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Entities affiliated with Apeiron Investment Group, Ltd</w:t>
            </w:r>
          </w:p>
        </w:tc>
        <w:tc>
          <w:tcPr>
            <w:tcW w:w="146"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c>
          <w:tcPr>
            <w:tcW w:w="270" w:type="dxa"/>
            <w:tcBorders/>
            <w:vAlign w:val="center"/>
          </w:tcPr>
          <w:p>
            <w:pPr>
              <w:pStyle w:val="TableContents"/>
              <w:bidi w:val="0"/>
              <w:spacing w:before="0" w:after="0"/>
              <w:ind w:left="0" w:right="0" w:hanging="0"/>
              <w:jc w:val="left"/>
              <w:rPr/>
            </w:pPr>
            <w:r>
              <w:rPr/>
              <w:t> </w:t>
            </w:r>
          </w:p>
        </w:tc>
        <w:tc>
          <w:tcPr>
            <w:tcW w:w="1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28,931,976</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Ricks Family Trust</w:t>
            </w:r>
          </w:p>
        </w:tc>
        <w:tc>
          <w:tcPr>
            <w:tcW w:w="146"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c>
          <w:tcPr>
            <w:tcW w:w="270" w:type="dxa"/>
            <w:tcBorders/>
            <w:vAlign w:val="center"/>
          </w:tcPr>
          <w:p>
            <w:pPr>
              <w:pStyle w:val="TableContents"/>
              <w:bidi w:val="0"/>
              <w:spacing w:before="0" w:after="0"/>
              <w:ind w:left="0" w:right="0" w:hanging="0"/>
              <w:jc w:val="left"/>
              <w:rPr/>
            </w:pPr>
            <w:r>
              <w:rPr/>
              <w:t> </w:t>
            </w:r>
          </w:p>
        </w:tc>
        <w:tc>
          <w:tcPr>
            <w:tcW w:w="1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3,037,849</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rFonts w:cs="Times New Roman;serif"/>
                <w:bCs w:val="false"/>
                <w:szCs w:val="20"/>
              </w:rPr>
            </w:pPr>
            <w:r>
              <w:rPr>
                <w:rFonts w:cs="Times New Roman;serif"/>
                <w:bCs w:val="false"/>
                <w:szCs w:val="20"/>
              </w:rPr>
              <w:t>﻿</w:t>
            </w:r>
          </w:p>
        </w:tc>
      </w:tr>
    </w:tbl>
    <w:p>
      <w:pPr>
        <w:pStyle w:val="TextBody"/>
        <w:bidi w:val="0"/>
        <w:spacing w:before="40" w:after="0"/>
        <w:jc w:val="left"/>
        <w:rPr>
          <w:rFonts w:ascii="Times New Roman" w:hAnsi="Times New Roman"/>
          <w:b w:val="false"/>
          <w:sz w:val="20"/>
        </w:rPr>
      </w:pPr>
      <w:r>
        <w:rPr>
          <w:rFonts w:ascii="Times New Roman" w:hAnsi="Times New Roman"/>
          <w:b w:val="false"/>
          <w:sz w:val="20"/>
        </w:rPr>
        <w:t>(1)</w:t>
      </w:r>
    </w:p>
    <w:p>
      <w:pPr>
        <w:pStyle w:val="TextBody"/>
        <w:bidi w:val="0"/>
        <w:spacing w:before="40" w:after="283"/>
        <w:jc w:val="left"/>
        <w:rPr>
          <w:rFonts w:ascii="Times New Roman;serif" w:hAnsi="Times New Roman;serif"/>
          <w:b w:val="false"/>
          <w:sz w:val="20"/>
        </w:rPr>
      </w:pPr>
      <w:r>
        <w:rPr>
          <w:rFonts w:ascii="Times New Roman;serif" w:hAnsi="Times New Roman;serif"/>
          <w:b w:val="false"/>
          <w:sz w:val="20"/>
        </w:rPr>
        <w:t xml:space="preserve">Upon the closing of our initial public offering, each share of our Series BB preferred stock converted into one share of common stock.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Investors’ Rights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We are party to an investors’ rights agreement (the “IRA”) with certain holders of our convertible preferred stock, including our 5% stockholders and their affiliates. The IRA provides these stockholders with certain registration rights, including the right to demand that we file a registration statement or request that their shares be covered by a registration statement that we are otherwise filing, and also the right to obligate us to an agreement to provide for additional rights to demand that we file a registration statement or request that their shares be covered by a registration statement that we have filed and maintain as effective.</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Indemnification Agreements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amended and restated certificate of incorporation contains provisions limiting the liability of directors, and our amended and restated bylaws provides that we will indemnify each of our directors and officers to the fullest extent permitted under Delaware law. Our amended and restated certificate of incorporation and amended and restated bylaws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Consulting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December 2020, we entered into a consulting agreement with Apeiron Advisory Ltd. (“Apeiron Advisory”), an affiliate of Presight Sensei Co-Invest Fund, L.P., one of the holders of more than 5% of our voting securities. Pursuant to the consulting agreement, Apeiron Advisory provided us with strategic and development-related advice in exchange for a one-time retaining fee of $1.5 million, which we paid to Apeiron Advisory in January 2021.</w:t>
      </w:r>
    </w:p>
    <w:p>
      <w:pPr>
        <w:pStyle w:val="TextBody"/>
        <w:bidi w:val="0"/>
        <w:spacing w:before="360" w:after="0"/>
        <w:jc w:val="left"/>
        <w:rPr>
          <w:rFonts w:ascii="Times New Roman;serif" w:hAnsi="Times New Roman;serif"/>
          <w:b/>
          <w:i/>
          <w:sz w:val="20"/>
        </w:rPr>
      </w:pPr>
      <w:r>
        <w:rPr>
          <w:rFonts w:ascii="Times New Roman;serif" w:hAnsi="Times New Roman;serif"/>
          <w:b/>
          <w:i/>
          <w:sz w:val="20"/>
        </w:rPr>
        <w:t>Service Agreement with Hope Farms Research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April 2021, we entered into a Service Agreement (the “Service Agreement”) with Hope Farms Disco Bay LLC (“Hope Farms”), pursuant to which Hope Farms provides services to us related to research activities. The Chief Executive Officer of Hope Farms, Mai Hope Le, is the wife of Dr. Pierce, our former Chief Research and Development Officer, and Dr. Pierce is a co-founder and member of Hope Farms. In exchange for the services provided pursuant to the Service Agreement, we paid $150,869 and $130,578 to Hope Farms during 2022 and 2021, respectively. In October 2022, the Company and Hope Farms agreed to terminate the Service Agreement.</w:t>
      </w:r>
    </w:p>
    <w:p>
      <w:pPr>
        <w:pStyle w:val="TextBody"/>
        <w:bidi w:val="0"/>
        <w:spacing w:before="360" w:after="0"/>
        <w:jc w:val="left"/>
        <w:rPr>
          <w:rFonts w:ascii="Times New Roman;serif" w:hAnsi="Times New Roman;serif"/>
          <w:b/>
          <w:i/>
          <w:sz w:val="20"/>
        </w:rPr>
      </w:pPr>
      <w:r>
        <w:rPr>
          <w:rFonts w:ascii="Times New Roman;serif" w:hAnsi="Times New Roman;serif"/>
          <w:b/>
          <w:i/>
          <w:sz w:val="20"/>
        </w:rPr>
        <w:t>Service Agreement with Binney Street Partners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2022, we entered into a service agreement with Binney Street Partners LLC (“Binney Street Partners”) to provide business development services (the “BSP Service Agreement”). The Company subsequently hired Patrick Gallagher, who was a managing partner of Binney Street Partners, to serve as the Company's Chief Business Officer, effective June 1, 2022. In exchange for the services provided pursuant to the BSP Service Agreement, we paid $223,372 to Binney Street Partners during 2022. In September 2022, the Company and Binney Street Partners agreed to terminate the BSP Service Agreement, effective as of August 11, 2022.</w:t>
      </w:r>
    </w:p>
    <w:p>
      <w:pPr>
        <w:pStyle w:val="TextBody"/>
        <w:bidi w:val="0"/>
        <w:spacing w:before="360" w:after="0"/>
        <w:jc w:val="left"/>
        <w:rPr>
          <w:rFonts w:ascii="Times New Roman;serif" w:hAnsi="Times New Roman;serif"/>
          <w:b/>
          <w:i/>
          <w:sz w:val="20"/>
        </w:rPr>
      </w:pPr>
      <w:r>
        <w:rPr>
          <w:rFonts w:ascii="Times New Roman;serif" w:hAnsi="Times New Roman;serif"/>
          <w:b/>
          <w:i/>
          <w:sz w:val="20"/>
        </w:rPr>
        <w:t>Purchase Agreement with Apeiron Investment Group and Affiliates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May 23, 2023, we entered into a Purchase Agreement (the “Purchase Agreement”) with Apeiron Investment Group Ltd., Presight Sensei Co-Invest Fund, L.P., Presight Sensei Co-Invest Management, L.L.C., Christian Angermayer, Apeiron SICAV Ltd. - Presight Capital Fund ONE, and Altarius Asset Management Ltd. (collectively, the “Apeiron Parties”). At the time of the execution of the Purchase Agreement the Apeiron Parties collectively held more than 5% of our voting securities.</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Pursuant to the Purchase Agreement, we agreed to purchase 4,454,248 shares of the Company’s common stock (the “Purchased Shares”) from certain of the Apeiron Parties (the “Sellers”) for a purchase price of $1.58 per share. The Purchased Shares constitute the Apeiron Parties’ entire beneficial ownership of the Company’s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Apeiron Investment Group Ltd. also agreed to withdraw its notice of intent to nominate director candidates for election to the Company’s Board of Directors at the 2023 Annual Meeting, effective upon the closing of the purchase of the Purchased Shares (the “Closing”). The Closing occurred on June 1, 2023 and Apeiron Investment Group Ltd. has withdrawn its nomination of director candidates for election to our Board of Directors.</w:t>
      </w:r>
    </w:p>
    <w:p>
      <w:pPr>
        <w:pStyle w:val="TextBody"/>
        <w:bidi w:val="0"/>
        <w:spacing w:before="36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360"/>
        <w:jc w:val="center"/>
        <w:rPr>
          <w:rFonts w:ascii="Times New Roman" w:hAnsi="Times New Roman"/>
          <w:sz w:val="20"/>
        </w:rPr>
      </w:pPr>
      <w:bookmarkStart w:id="12" w:name="householding"/>
      <w:bookmarkEnd w:id="12"/>
      <w:r>
        <w:rPr>
          <w:rFonts w:ascii="Times New Roman;serif" w:hAnsi="Times New Roman;serif"/>
          <w:b/>
          <w:sz w:val="20"/>
        </w:rPr>
        <w:t>HOUSEHOLDING OF PROXY MATERIALS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SEC has adopted rules that permit companies and intermediaries (for example,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This year, a number of brokers with account holders who are our stockholders will be “householding” our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us. Direct your written request to Sensei Biotherapeutics, Inc., Attn: Secretary, 1405 Research Blvd, Suite 125, Rockville, Maryland 20850. Stockholders who currently receive multiple copies of the Annual Meeting materials at their addresses and would like to request “householding” of their communications should contact their brokers.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3" w:name="othermatters"/>
      <w:bookmarkEnd w:id="13"/>
      <w:r>
        <w:rPr>
          <w:rFonts w:ascii="Times New Roman;serif" w:hAnsi="Times New Roman;serif"/>
          <w:b/>
          <w:sz w:val="20"/>
        </w:rPr>
        <w:t>OTHER MATTERS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By Order of the Board of Directors</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 Christopher W. Gerry</w:t>
      </w:r>
    </w:p>
    <w:p>
      <w:pPr>
        <w:pStyle w:val="TextBody"/>
        <w:bidi w:val="0"/>
        <w:spacing w:before="0" w:after="0"/>
        <w:jc w:val="left"/>
        <w:rPr>
          <w:rFonts w:ascii="Times New Roman" w:hAnsi="Times New Roman"/>
          <w:sz w:val="20"/>
        </w:rPr>
      </w:pPr>
      <w:r>
        <w:rPr>
          <w:rFonts w:ascii="Times New Roman;serif" w:hAnsi="Times New Roman;serif"/>
          <w:b/>
          <w:sz w:val="20"/>
        </w:rPr>
        <w:t>Christopher W. Gerry</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General Counsel and Secretary</w:t>
      </w:r>
    </w:p>
    <w:p>
      <w:pPr>
        <w:pStyle w:val="TextBody"/>
        <w:bidi w:val="0"/>
        <w:spacing w:before="120" w:after="0"/>
        <w:jc w:val="both"/>
        <w:rPr>
          <w:rFonts w:ascii="Times New Roman" w:hAnsi="Times New Roman"/>
          <w:sz w:val="20"/>
        </w:rPr>
      </w:pPr>
      <w:r>
        <w:rPr>
          <w:rFonts w:ascii="Times New Roman;serif" w:hAnsi="Times New Roman;serif"/>
          <w:b w:val="false"/>
          <w:sz w:val="20"/>
        </w:rPr>
        <w:t>Dated: June 15, 2023</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A copy of our Annual Report on Form 10-K for the fiscal year ended December 31, 2022 is available without charge upon written request to: Corporate Secretary, Sensei Biotherapeutics, Inc., 1405 Research Blvd, Suite 125, Rockville, Maryland 20850.</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686550" cy="8639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86550" cy="8639175"/>
                    </a:xfrm>
                    <a:prstGeom prst="rect">
                      <a:avLst/>
                    </a:prstGeom>
                  </pic:spPr>
                </pic:pic>
              </a:graphicData>
            </a:graphic>
          </wp:inline>
        </w:drawing>
      </w:r>
      <w:r>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
        </w:rPr>
        <w:t xml:space="preserve">Company logo </w:t>
      </w:r>
      <w:r>
        <w:rPr>
          <w:rFonts w:ascii="Times New Roman;serif" w:hAnsi="Times New Roman;serif"/>
          <w:b w:val="false"/>
          <w:sz w:val="2"/>
        </w:rPr>
        <w:t>P.O. BOX 8016, CARY, NC 27512-9903</w:t>
      </w:r>
      <w:r>
        <w:rPr>
          <w:rFonts w:ascii="Times New Roman" w:hAnsi="Times New Roman"/>
          <w:sz w:val="20"/>
        </w:rPr>
        <w:t xml:space="preserve"> </w:t>
      </w:r>
      <w:r>
        <w:rPr>
          <w:rFonts w:ascii="Times New Roman;serif" w:hAnsi="Times New Roman;serif"/>
          <w:b/>
          <w:sz w:val="2"/>
        </w:rPr>
        <w:t>YOUR VOTE IS IMPORTANT! PLEASE VOTE BY:</w:t>
      </w:r>
      <w:r>
        <w:rPr>
          <w:rFonts w:ascii="Times New Roman" w:hAnsi="Times New Roman"/>
          <w:sz w:val="20"/>
        </w:rPr>
        <w:t xml:space="preserve"> </w:t>
      </w:r>
      <w:r>
        <w:rPr>
          <w:rFonts w:ascii="Times New Roman;serif" w:hAnsi="Times New Roman;serif"/>
          <w:b/>
          <w:sz w:val="2"/>
        </w:rPr>
        <w:t xml:space="preserve">INTERNET </w:t>
      </w:r>
      <w:r>
        <w:rPr>
          <w:rFonts w:ascii="Times New Roman;serif" w:hAnsi="Times New Roman;serif"/>
          <w:b w:val="false"/>
          <w:sz w:val="2"/>
        </w:rPr>
        <w:t xml:space="preserve">Go To: </w:t>
      </w:r>
      <w:r>
        <w:rPr>
          <w:rFonts w:ascii="Times New Roman;serif" w:hAnsi="Times New Roman;serif"/>
          <w:b/>
          <w:sz w:val="2"/>
        </w:rPr>
        <w:t>www.proxypush.com/SNSE</w:t>
      </w:r>
      <w:r>
        <w:rPr>
          <w:rFonts w:ascii="Times New Roman;serif" w:hAnsi="Times New Roman;serif"/>
          <w:b w:val="false"/>
          <w:sz w:val="2"/>
        </w:rPr>
        <w:t xml:space="preserve">Cast your vote online </w:t>
      </w:r>
      <w:r>
        <w:rPr>
          <w:rFonts w:ascii="Times New Roman;serif" w:hAnsi="Times New Roman;serif"/>
          <w:b/>
          <w:sz w:val="2"/>
        </w:rPr>
        <w:t>Have your Proxy Card ready</w:t>
      </w:r>
      <w:r>
        <w:rPr>
          <w:rFonts w:ascii="Times New Roman" w:hAnsi="Times New Roman"/>
          <w:sz w:val="20"/>
        </w:rPr>
        <w:t xml:space="preserve"> </w:t>
      </w:r>
      <w:r>
        <w:rPr>
          <w:rFonts w:ascii="Times New Roman;serif" w:hAnsi="Times New Roman;serif"/>
          <w:b w:val="false"/>
          <w:sz w:val="2"/>
        </w:rPr>
        <w:t xml:space="preserve">Follow the simple instructions to record your vote </w:t>
      </w:r>
      <w:r>
        <w:rPr>
          <w:rFonts w:ascii="Times New Roman;serif" w:hAnsi="Times New Roman;serif"/>
          <w:b/>
          <w:sz w:val="2"/>
        </w:rPr>
        <w:t xml:space="preserve">PHONE </w:t>
      </w:r>
      <w:r>
        <w:rPr>
          <w:rFonts w:ascii="Times New Roman;serif" w:hAnsi="Times New Roman;serif"/>
          <w:b w:val="false"/>
          <w:sz w:val="2"/>
        </w:rPr>
        <w:t xml:space="preserve">Call </w:t>
      </w:r>
      <w:r>
        <w:rPr>
          <w:rFonts w:ascii="Times New Roman;serif" w:hAnsi="Times New Roman;serif"/>
          <w:b/>
          <w:sz w:val="2"/>
        </w:rPr>
        <w:t>1-866-284-5317</w:t>
      </w:r>
      <w:r>
        <w:rPr>
          <w:rFonts w:ascii="Times New Roman" w:hAnsi="Times New Roman"/>
          <w:sz w:val="20"/>
        </w:rPr>
        <w:t xml:space="preserve"> </w:t>
      </w:r>
      <w:r>
        <w:rPr>
          <w:rFonts w:ascii="Times New Roman;serif" w:hAnsi="Times New Roman;serif"/>
          <w:b w:val="false"/>
          <w:sz w:val="2"/>
        </w:rPr>
        <w:t xml:space="preserve">Use any touch-tone telephone </w:t>
      </w:r>
      <w:r>
        <w:rPr>
          <w:rFonts w:ascii="Times New Roman;serif" w:hAnsi="Times New Roman;serif"/>
          <w:b/>
          <w:sz w:val="2"/>
        </w:rPr>
        <w:t xml:space="preserve">Have your Proxy Card ready </w:t>
      </w:r>
      <w:r>
        <w:rPr>
          <w:rFonts w:ascii="Times New Roman;serif" w:hAnsi="Times New Roman;serif"/>
          <w:b w:val="false"/>
          <w:sz w:val="2"/>
        </w:rPr>
        <w:t xml:space="preserve">Follow the simple recorded instructions </w:t>
      </w:r>
      <w:r>
        <w:rPr>
          <w:rFonts w:ascii="Times New Roman;serif" w:hAnsi="Times New Roman;serif"/>
          <w:b/>
          <w:sz w:val="2"/>
        </w:rPr>
        <w:t>MAIL</w:t>
      </w:r>
      <w:r>
        <w:rPr>
          <w:rFonts w:ascii="Times New Roman" w:hAnsi="Times New Roman"/>
          <w:sz w:val="20"/>
        </w:rPr>
        <w:t xml:space="preserve"> </w:t>
      </w:r>
      <w:r>
        <w:rPr>
          <w:rFonts w:ascii="Times New Roman;serif" w:hAnsi="Times New Roman;serif"/>
          <w:b w:val="false"/>
          <w:sz w:val="2"/>
        </w:rPr>
        <w:t xml:space="preserve">Mark, sign and date your Proxy Card Fold and return your Proxy Card in the postage-paid envelope provided You must register to attend the meeting online and/or participate at www.proxydocs.com/SNSE </w:t>
      </w:r>
      <w:r>
        <w:rPr>
          <w:rFonts w:ascii="Times New Roman;serif" w:hAnsi="Times New Roman;serif"/>
          <w:b/>
          <w:sz w:val="2"/>
        </w:rPr>
        <w:t xml:space="preserve">Sensei Biotherapeutics, Inc. Annual Meeting of Stockholders </w:t>
      </w:r>
      <w:r>
        <w:rPr>
          <w:rFonts w:ascii="Times New Roman;serif" w:hAnsi="Times New Roman;serif"/>
          <w:b w:val="false"/>
          <w:sz w:val="2"/>
        </w:rPr>
        <w:t xml:space="preserve">For Stockholders of record as of June 15, 2023 </w:t>
      </w:r>
      <w:r>
        <w:rPr>
          <w:rFonts w:ascii="Times New Roman;serif" w:hAnsi="Times New Roman;serif"/>
          <w:b/>
          <w:sz w:val="2"/>
        </w:rPr>
        <w:t xml:space="preserve">TIME: </w:t>
      </w:r>
      <w:r>
        <w:rPr>
          <w:rFonts w:ascii="Times New Roman;serif" w:hAnsi="Times New Roman;serif"/>
          <w:b w:val="false"/>
          <w:sz w:val="2"/>
        </w:rPr>
        <w:t xml:space="preserve">Monday, July 10, 2023 11:00 AM, Eastern Time </w:t>
      </w:r>
      <w:r>
        <w:rPr>
          <w:rFonts w:ascii="Times New Roman;serif" w:hAnsi="Times New Roman;serif"/>
          <w:b/>
          <w:sz w:val="2"/>
        </w:rPr>
        <w:t xml:space="preserve">PLACE: </w:t>
      </w:r>
      <w:r>
        <w:rPr>
          <w:rFonts w:ascii="Times New Roman;serif" w:hAnsi="Times New Roman;serif"/>
          <w:b w:val="false"/>
          <w:sz w:val="2"/>
        </w:rPr>
        <w:t xml:space="preserve">Annual Meeting to be held live via the Internet - please visit www.proxydocs.com/SNSE for more details. </w:t>
      </w:r>
      <w:r>
        <w:rPr>
          <w:rFonts w:ascii="Times New Roman;serif" w:hAnsi="Times New Roman;serif"/>
          <w:b/>
          <w:sz w:val="2"/>
        </w:rPr>
        <w:t xml:space="preserve">This proxy is being solicited on behalf of the Board of Directors </w:t>
      </w:r>
      <w:r>
        <w:rPr>
          <w:rFonts w:ascii="Times New Roman;serif" w:hAnsi="Times New Roman;serif"/>
          <w:b w:val="false"/>
          <w:sz w:val="2"/>
        </w:rPr>
        <w:t>The undersigned hereby appoints John Celebi and Erin Colgan (the "Named Proxies"), and each or either of them, as the true and lawful attorneys of the undersigned, with full power of substitution and revocation, and authorizes them, and each of them, to vote all the shares of capital stock of Sensei Biotherapeutics,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686550" cy="8639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86550" cy="8639175"/>
                    </a:xfrm>
                    <a:prstGeom prst="rect">
                      <a:avLst/>
                    </a:prstGeom>
                  </pic:spPr>
                </pic:pic>
              </a:graphicData>
            </a:graphic>
          </wp:inline>
        </w:drawing>
      </w:r>
      <w:r>
        <w:rPr/>
        <w: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
        </w:rPr>
        <w:t>Sensei Biotherapeutics, Inc. Annual Meeting of Stockholders</w:t>
      </w:r>
      <w:r>
        <w:rPr>
          <w:rFonts w:ascii="Times New Roman" w:hAnsi="Times New Roman"/>
          <w:sz w:val="20"/>
        </w:rPr>
        <w:t xml:space="preserve"> </w:t>
      </w:r>
      <w:r>
        <w:rPr>
          <w:rFonts w:ascii="Times New Roman;serif" w:hAnsi="Times New Roman;serif"/>
          <w:b/>
          <w:sz w:val="2"/>
        </w:rPr>
        <w:t>Please make your marks like this:</w:t>
      </w:r>
      <w:r>
        <w:rPr>
          <w:rFonts w:ascii="Times New Roman" w:hAnsi="Times New Roman"/>
          <w:sz w:val="20"/>
        </w:rPr>
        <w:t xml:space="preserve"> </w:t>
      </w:r>
      <w:r>
        <w:rPr>
          <w:rFonts w:ascii="Times New Roman;serif" w:hAnsi="Times New Roman;serif"/>
          <w:b/>
          <w:sz w:val="2"/>
        </w:rPr>
        <w:t>THE BOARD OF DIRECTORS RECOMMENDS A VOTE: FOR</w:t>
      </w:r>
      <w:r>
        <w:rPr>
          <w:rFonts w:ascii="Times New Roman;serif" w:hAnsi="Times New Roman;serif"/>
          <w:b w:val="false"/>
          <w:sz w:val="2"/>
        </w:rPr>
        <w:t xml:space="preserve">ON PROPOSALS 1 AND 2 </w:t>
      </w:r>
      <w:r>
        <w:rPr>
          <w:rFonts w:ascii="Times New Roman;serif" w:hAnsi="Times New Roman;serif"/>
          <w:b/>
          <w:sz w:val="2"/>
        </w:rPr>
        <w:t xml:space="preserve">PROPOSAL YOUR VOTE BOARD OF DIRECTORS RECOMMENDS </w:t>
      </w:r>
      <w:r>
        <w:rPr>
          <w:rFonts w:ascii="Times New Roman;serif" w:hAnsi="Times New Roman;serif"/>
          <w:b w:val="false"/>
          <w:sz w:val="2"/>
        </w:rPr>
        <w:t xml:space="preserve">1. To elect the Board's nominees, Bob Holmen, Kristian Humer and Deneen Vojta, to the Board of Directors to hold office until the 2026 Annual Meeting of Stockholders. </w:t>
      </w:r>
      <w:r>
        <w:rPr>
          <w:rFonts w:ascii="Times New Roman;serif" w:hAnsi="Times New Roman;serif"/>
          <w:b/>
          <w:sz w:val="2"/>
        </w:rPr>
        <w:t xml:space="preserve">FOR WITHHOLD </w:t>
      </w:r>
      <w:r>
        <w:rPr>
          <w:rFonts w:ascii="Times New Roman;serif" w:hAnsi="Times New Roman;serif"/>
          <w:b w:val="false"/>
          <w:sz w:val="2"/>
        </w:rPr>
        <w:t xml:space="preserve">1.01 Bob Holmen P2 P2 </w:t>
      </w:r>
      <w:r>
        <w:rPr>
          <w:rFonts w:ascii="Times New Roman;serif" w:hAnsi="Times New Roman;serif"/>
          <w:b/>
          <w:sz w:val="2"/>
        </w:rPr>
        <w:t xml:space="preserve">FOR </w:t>
      </w:r>
      <w:r>
        <w:rPr>
          <w:rFonts w:ascii="Times New Roman;serif" w:hAnsi="Times New Roman;serif"/>
          <w:b w:val="false"/>
          <w:sz w:val="2"/>
        </w:rPr>
        <w:t xml:space="preserve">1.02 Kristian Humer P3 P3 </w:t>
      </w:r>
      <w:r>
        <w:rPr>
          <w:rFonts w:ascii="Times New Roman;serif" w:hAnsi="Times New Roman;serif"/>
          <w:b/>
          <w:sz w:val="2"/>
        </w:rPr>
        <w:t xml:space="preserve">FOR </w:t>
      </w:r>
      <w:r>
        <w:rPr>
          <w:rFonts w:ascii="Times New Roman;serif" w:hAnsi="Times New Roman;serif"/>
          <w:b w:val="false"/>
          <w:sz w:val="2"/>
        </w:rPr>
        <w:t xml:space="preserve">1.03 Deneen Vojta P4 P4 </w:t>
      </w:r>
      <w:r>
        <w:rPr>
          <w:rFonts w:ascii="Times New Roman;serif" w:hAnsi="Times New Roman;serif"/>
          <w:b/>
          <w:sz w:val="2"/>
        </w:rPr>
        <w:t xml:space="preserve">FOR FOR AGAINST ABSTAIN </w:t>
      </w:r>
      <w:r>
        <w:rPr>
          <w:rFonts w:ascii="Times New Roman;serif" w:hAnsi="Times New Roman;serif"/>
          <w:b w:val="false"/>
          <w:sz w:val="2"/>
        </w:rPr>
        <w:t xml:space="preserve">2. To ratify the selection by the Audit Committee of the Board of Directors of Deloitte &amp; Touche LLP as the Company's independent registered public accounting firm for the year ending December 31, 2023. P5 P5 P5 </w:t>
      </w:r>
      <w:r>
        <w:rPr>
          <w:rFonts w:ascii="Times New Roman;serif" w:hAnsi="Times New Roman;serif"/>
          <w:b/>
          <w:sz w:val="2"/>
        </w:rPr>
        <w:t xml:space="preserve">FOR </w:t>
      </w:r>
      <w:r>
        <w:rPr>
          <w:rFonts w:ascii="Times New Roman;serif" w:hAnsi="Times New Roman;serif"/>
          <w:b w:val="false"/>
          <w:sz w:val="2"/>
        </w:rPr>
        <w:t xml:space="preserve">3. To conduct any other business properly brought before the meeting. </w:t>
      </w:r>
      <w:r>
        <w:rPr>
          <w:rFonts w:ascii="Times New Roman;serif" w:hAnsi="Times New Roman;serif"/>
          <w:b/>
          <w:sz w:val="2"/>
        </w:rPr>
        <w:t xml:space="preserve">You must register to attend the meeting online and/or participate at www.proxydocs.com/SNSE </w:t>
      </w:r>
      <w:r>
        <w:rPr>
          <w:rFonts w:ascii="Times New Roman;serif" w:hAnsi="Times New Roman;serif"/>
          <w:b w:val="false"/>
          <w:sz w:val="2"/>
        </w:rPr>
        <w:t>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Proposal_Page - VIFL Date Signature (if held jointly)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Arial">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20008</Words>
  <Characters>107106</Characters>
  <CharactersWithSpaces>127609</CharactersWithSpaces>
  <Paragraphs>2555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