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Cambrian BioPharma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 MORRIS AVENUE</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02/28/2022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BROOKLYN NAVY YARD, BUILDING 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02/28/2022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42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3"/>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5,228,328</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03/01/2022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2,458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3"/>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5,230,786</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p>
      <w:pPr>
        <w:ind w:left="6580"/>
        <w:spacing w:after="0" w:line="182" w:lineRule="auto"/>
        <w:rPr>
          <w:sz w:val="20"/>
          <w:szCs w:val="20"/>
          <w:color w:val="auto"/>
        </w:rPr>
      </w:pPr>
      <w:r>
        <w:rPr>
          <w:rFonts w:ascii="Arial" w:cs="Arial" w:eastAsia="Arial" w:hAnsi="Arial"/>
          <w:sz w:val="17"/>
          <w:szCs w:val="17"/>
          <w:color w:val="0000FF"/>
        </w:rPr>
        <w:t xml:space="preserve">Cambrian BioPharma Inc, by:  </w:t>
      </w:r>
      <w:r>
        <w:rPr>
          <w:rFonts w:ascii="Arial" w:cs="Arial" w:eastAsia="Arial" w:hAnsi="Arial"/>
          <w:sz w:val="32"/>
          <w:szCs w:val="32"/>
          <w:color w:val="0000FF"/>
          <w:vertAlign w:val="subscript"/>
        </w:rPr>
        <w:t>03/01/2022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74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2022-03-01T18:34:28Z</dcterms:created>
  <dcterms:modified xsi:type="dcterms:W3CDTF">2022-03-01T18:34:28Z</dcterms:modified>
</cp:coreProperties>
</file>