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Sensei Biotherapeutics,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Common Stock, $0.0001 par value per share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81728A 108</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December 31, 2021</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ectPr>
          <w:pgSz w:w="11900" w:h="16838" w:orient="portrait"/>
          <w:cols w:equalWidth="0" w:num="1">
            <w:col w:w="11240"/>
          </w:cols>
          <w:pgMar w:left="320" w:top="216" w:right="339" w:bottom="1440" w:gutter="0" w:footer="0" w:header="0"/>
        </w:sectPr>
      </w:pPr>
    </w:p>
    <w:p>
      <w:pPr>
        <w:spacing w:after="0" w:line="186" w:lineRule="exact"/>
        <w:rPr>
          <w:sz w:val="24"/>
          <w:szCs w:val="24"/>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13d-1(b)</w:t>
      </w:r>
    </w:p>
    <w:p>
      <w:pPr>
        <w:spacing w:after="0" w:line="197" w:lineRule="exact"/>
        <w:rPr>
          <w:sz w:val="24"/>
          <w:szCs w:val="24"/>
          <w:color w:val="auto"/>
        </w:rPr>
      </w:pPr>
    </w:p>
    <w:p>
      <w:pPr>
        <w:sectPr>
          <w:pgSz w:w="11900" w:h="16838" w:orient="portrait"/>
          <w:cols w:equalWidth="0" w:num="2">
            <w:col w:w="1420" w:space="720"/>
            <w:col w:w="9100"/>
          </w:cols>
          <w:pgMar w:left="320" w:top="216" w:right="339" w:bottom="1440" w:gutter="0" w:footer="0" w:header="0"/>
          <w:type w:val="continuous"/>
        </w:sect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97" w:lineRule="exact"/>
        <w:rPr>
          <w:sz w:val="24"/>
          <w:szCs w:val="24"/>
          <w:color w:val="auto"/>
        </w:rPr>
      </w:pPr>
    </w:p>
    <w:p>
      <w:pPr>
        <w:sectPr>
          <w:pgSz w:w="11900" w:h="16838" w:orient="portrait"/>
          <w:cols w:equalWidth="0" w:num="2">
            <w:col w:w="1420" w:space="720"/>
            <w:col w:w="9100"/>
          </w:cols>
          <w:pgMar w:left="320" w:top="216" w:right="339" w:bottom="1440" w:gutter="0" w:footer="0" w:header="0"/>
          <w:type w:val="continuous"/>
        </w:sect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1420" w:space="720"/>
            <w:col w:w="9100"/>
          </w:cols>
          <w:pgMar w:left="320" w:top="216" w:right="339" w:bottom="1440" w:gutter="0" w:footer="0" w:header="0"/>
          <w:type w:val="continuous"/>
        </w:sectPr>
      </w:pPr>
    </w:p>
    <w:p>
      <w:pPr>
        <w:spacing w:after="0" w:line="18" w:lineRule="exact"/>
        <w:rPr>
          <w:sz w:val="24"/>
          <w:szCs w:val="24"/>
          <w:color w:val="auto"/>
        </w:rPr>
      </w:pPr>
    </w:p>
    <w:p>
      <w:pPr>
        <w:jc w:val="both"/>
        <w:ind w:firstLine="8"/>
        <w:spacing w:after="0" w:line="244" w:lineRule="auto"/>
        <w:tabs>
          <w:tab w:leader="none" w:pos="21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ind w:left="1360" w:hanging="1190"/>
        <w:spacing w:after="0" w:line="182" w:lineRule="auto"/>
        <w:tabs>
          <w:tab w:leader="none" w:pos="13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3"/>
          <w:szCs w:val="13"/>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68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3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James Peyer</w:t>
            </w: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360" w:type="dxa"/>
            <w:vAlign w:val="bottom"/>
            <w:vMerge w:val="restart"/>
          </w:tcPr>
          <w:p>
            <w:pPr>
              <w:jc w:val="right"/>
              <w:ind w:right="945"/>
              <w:spacing w:after="0" w:line="201" w:lineRule="exact"/>
              <w:rPr>
                <w:sz w:val="20"/>
                <w:szCs w:val="20"/>
                <w:color w:val="auto"/>
              </w:rPr>
            </w:pPr>
            <w:r>
              <w:rPr>
                <w:rFonts w:ascii="Times New Roman" w:cs="Times New Roman" w:eastAsia="Times New Roman" w:hAnsi="Times New Roman"/>
                <w:sz w:val="23"/>
                <w:szCs w:val="23"/>
                <w:b w:val="1"/>
                <w:bCs w:val="1"/>
                <w:color w:val="auto"/>
              </w:rPr>
              <w:t>2</w:t>
            </w:r>
          </w:p>
        </w:tc>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tc>
        <w:tc>
          <w:tcPr>
            <w:tcW w:w="2840" w:type="dxa"/>
            <w:vAlign w:val="bottom"/>
            <w:vMerge w:val="restart"/>
          </w:tcPr>
          <w:p>
            <w:pPr>
              <w:ind w:left="1600"/>
              <w:spacing w:after="0" w:line="196" w:lineRule="exact"/>
              <w:rPr>
                <w:sz w:val="20"/>
                <w:szCs w:val="20"/>
                <w:color w:val="auto"/>
              </w:rPr>
            </w:pPr>
            <w:r>
              <w:rPr>
                <w:rFonts w:ascii="Times New Roman" w:cs="Times New Roman" w:eastAsia="Times New Roman" w:hAnsi="Times New Roman"/>
                <w:sz w:val="14"/>
                <w:szCs w:val="14"/>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3"/>
        </w:trPr>
        <w:tc>
          <w:tcPr>
            <w:tcW w:w="1360" w:type="dxa"/>
            <w:vAlign w:val="bottom"/>
            <w:vMerge w:val="continue"/>
          </w:tcPr>
          <w:p>
            <w:pPr>
              <w:spacing w:after="0"/>
              <w:rPr>
                <w:sz w:val="2"/>
                <w:szCs w:val="2"/>
                <w:color w:val="auto"/>
              </w:rPr>
            </w:pPr>
          </w:p>
        </w:tc>
        <w:tc>
          <w:tcPr>
            <w:tcW w:w="704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3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840" w:type="dxa"/>
            <w:vAlign w:val="bottom"/>
          </w:tcPr>
          <w:p>
            <w:pPr>
              <w:ind w:left="1600"/>
              <w:spacing w:after="0" w:line="161" w:lineRule="exact"/>
              <w:rPr>
                <w:sz w:val="20"/>
                <w:szCs w:val="20"/>
                <w:color w:val="auto"/>
              </w:rPr>
            </w:pPr>
            <w:r>
              <w:rPr>
                <w:rFonts w:ascii="Times New Roman" w:cs="Times New Roman" w:eastAsia="Times New Roman" w:hAnsi="Times New Roman"/>
                <w:sz w:val="14"/>
                <w:szCs w:val="14"/>
                <w:color w:val="auto"/>
              </w:rPr>
              <w:t xml:space="preserve">(b)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1360" w:hanging="1190"/>
        <w:spacing w:after="0" w:line="181" w:lineRule="auto"/>
        <w:tabs>
          <w:tab w:leader="none" w:pos="1360" w:val="left"/>
        </w:tabs>
        <w:numPr>
          <w:ilvl w:val="0"/>
          <w:numId w:val="3"/>
        </w:numPr>
        <w:rPr>
          <w:rFonts w:ascii="Times New Roman" w:cs="Times New Roman" w:eastAsia="Times New Roman" w:hAnsi="Times New Roman"/>
          <w:sz w:val="41"/>
          <w:szCs w:val="41"/>
          <w:b w:val="1"/>
          <w:bCs w:val="1"/>
          <w:color w:val="auto"/>
          <w:vertAlign w:val="subscript"/>
        </w:rPr>
      </w:pPr>
      <w:r>
        <w:rPr>
          <w:rFonts w:ascii="Times New Roman" w:cs="Times New Roman" w:eastAsia="Times New Roman" w:hAnsi="Times New Roman"/>
          <w:sz w:val="13"/>
          <w:szCs w:val="13"/>
          <w:color w:val="auto"/>
        </w:rPr>
        <w:t>SEC USE ONLY</w:t>
      </w:r>
    </w:p>
    <w:p>
      <w:pPr>
        <w:ind w:left="1360" w:hanging="1190"/>
        <w:spacing w:after="0" w:line="183" w:lineRule="auto"/>
        <w:tabs>
          <w:tab w:leader="none" w:pos="1360" w:val="left"/>
        </w:tabs>
        <w:numPr>
          <w:ilvl w:val="0"/>
          <w:numId w:val="4"/>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3"/>
          <w:szCs w:val="13"/>
          <w:color w:val="auto"/>
        </w:rPr>
        <w:t>CITIZENSHIP OR PLACE OF ORGANIZATION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United States</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5</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0" w:type="dxa"/>
            <w:vAlign w:val="bottom"/>
          </w:tcPr>
          <w:p>
            <w:pPr>
              <w:spacing w:after="0"/>
              <w:rPr>
                <w:sz w:val="23"/>
                <w:szCs w:val="23"/>
                <w:color w:val="auto"/>
              </w:rPr>
            </w:pPr>
          </w:p>
        </w:tc>
        <w:tc>
          <w:tcPr>
            <w:tcW w:w="220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Borders>
              <w:right w:val="single" w:sz="8" w:color="auto"/>
            </w:tcBorders>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90"/>
              <w:spacing w:after="0" w:line="27" w:lineRule="exact"/>
              <w:rPr>
                <w:sz w:val="20"/>
                <w:szCs w:val="20"/>
                <w:color w:val="auto"/>
              </w:rPr>
            </w:pPr>
            <w:r>
              <w:rPr>
                <w:rFonts w:ascii="Times New Roman" w:cs="Times New Roman" w:eastAsia="Times New Roman" w:hAnsi="Times New Roman"/>
                <w:sz w:val="3"/>
                <w:szCs w:val="3"/>
                <w:b w:val="1"/>
                <w:bCs w:val="1"/>
                <w:color w:val="auto"/>
              </w:rPr>
              <w:t>SHARES</w:t>
            </w:r>
          </w:p>
        </w:tc>
        <w:tc>
          <w:tcPr>
            <w:tcW w:w="13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32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90"/>
              <w:spacing w:after="0" w:line="27" w:lineRule="exact"/>
              <w:rPr>
                <w:sz w:val="20"/>
                <w:szCs w:val="20"/>
                <w:color w:val="auto"/>
              </w:rPr>
            </w:pPr>
            <w:r>
              <w:rPr>
                <w:rFonts w:ascii="Times New Roman" w:cs="Times New Roman" w:eastAsia="Times New Roman" w:hAnsi="Times New Roman"/>
                <w:sz w:val="3"/>
                <w:szCs w:val="3"/>
                <w:b w:val="1"/>
                <w:bCs w:val="1"/>
                <w:color w:val="auto"/>
              </w:rPr>
              <w:t>EACH</w:t>
            </w:r>
          </w:p>
        </w:tc>
        <w:tc>
          <w:tcPr>
            <w:tcW w:w="13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3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3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220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3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8</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jc w:val="right"/>
              <w:ind w:right="54"/>
              <w:spacing w:after="0"/>
              <w:rPr>
                <w:sz w:val="20"/>
                <w:szCs w:val="20"/>
                <w:color w:val="auto"/>
              </w:rPr>
            </w:pPr>
            <w:r>
              <w:rPr>
                <w:rFonts w:ascii="Times New Roman" w:cs="Times New Roman" w:eastAsia="Times New Roman" w:hAnsi="Times New Roman"/>
                <w:sz w:val="25"/>
                <w:szCs w:val="25"/>
                <w:b w:val="1"/>
                <w:bCs w:val="1"/>
                <w:color w:val="auto"/>
              </w:rPr>
              <w:t>9</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r>
              <w:rPr>
                <w:rFonts w:ascii="Times New Roman" w:cs="Times New Roman" w:eastAsia="Times New Roman" w:hAnsi="Times New Roman"/>
                <w:sz w:val="17"/>
                <w:szCs w:val="17"/>
                <w:color w:val="auto"/>
              </w:rPr>
              <w:t>)</w:t>
            </w:r>
          </w:p>
        </w:tc>
        <w:tc>
          <w:tcPr>
            <w:tcW w:w="1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1"/>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11</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0.0%</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12</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IN</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81728A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4680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ind w:left="1360" w:hanging="1190"/>
        <w:spacing w:after="0" w:line="183" w:lineRule="auto"/>
        <w:tabs>
          <w:tab w:leader="none" w:pos="136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2"/>
          <w:szCs w:val="12"/>
          <w:color w:val="auto"/>
        </w:rPr>
        <w:t>NAME OF REPORTING PERSONS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3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Cambrian BioPharma Inc.</w:t>
            </w: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360" w:type="dxa"/>
            <w:vAlign w:val="bottom"/>
            <w:vMerge w:val="restart"/>
          </w:tcPr>
          <w:p>
            <w:pPr>
              <w:jc w:val="right"/>
              <w:ind w:right="945"/>
              <w:spacing w:after="0" w:line="201" w:lineRule="exact"/>
              <w:rPr>
                <w:sz w:val="20"/>
                <w:szCs w:val="20"/>
                <w:color w:val="auto"/>
              </w:rPr>
            </w:pPr>
            <w:r>
              <w:rPr>
                <w:rFonts w:ascii="Times New Roman" w:cs="Times New Roman" w:eastAsia="Times New Roman" w:hAnsi="Times New Roman"/>
                <w:sz w:val="23"/>
                <w:szCs w:val="23"/>
                <w:b w:val="1"/>
                <w:bCs w:val="1"/>
                <w:color w:val="auto"/>
              </w:rPr>
              <w:t>2</w:t>
            </w:r>
          </w:p>
        </w:tc>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tc>
        <w:tc>
          <w:tcPr>
            <w:tcW w:w="2840" w:type="dxa"/>
            <w:vAlign w:val="bottom"/>
            <w:vMerge w:val="restart"/>
          </w:tcPr>
          <w:p>
            <w:pPr>
              <w:ind w:left="1600"/>
              <w:spacing w:after="0" w:line="196" w:lineRule="exact"/>
              <w:rPr>
                <w:sz w:val="20"/>
                <w:szCs w:val="20"/>
                <w:color w:val="auto"/>
              </w:rPr>
            </w:pPr>
            <w:r>
              <w:rPr>
                <w:rFonts w:ascii="Times New Roman" w:cs="Times New Roman" w:eastAsia="Times New Roman" w:hAnsi="Times New Roman"/>
                <w:sz w:val="14"/>
                <w:szCs w:val="14"/>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3"/>
        </w:trPr>
        <w:tc>
          <w:tcPr>
            <w:tcW w:w="1360" w:type="dxa"/>
            <w:vAlign w:val="bottom"/>
            <w:vMerge w:val="continue"/>
          </w:tcPr>
          <w:p>
            <w:pPr>
              <w:spacing w:after="0"/>
              <w:rPr>
                <w:sz w:val="2"/>
                <w:szCs w:val="2"/>
                <w:color w:val="auto"/>
              </w:rPr>
            </w:pPr>
          </w:p>
        </w:tc>
        <w:tc>
          <w:tcPr>
            <w:tcW w:w="704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3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840" w:type="dxa"/>
            <w:vAlign w:val="bottom"/>
          </w:tcPr>
          <w:p>
            <w:pPr>
              <w:ind w:left="1600"/>
              <w:spacing w:after="0" w:line="161" w:lineRule="exact"/>
              <w:rPr>
                <w:sz w:val="20"/>
                <w:szCs w:val="20"/>
                <w:color w:val="auto"/>
              </w:rPr>
            </w:pPr>
            <w:r>
              <w:rPr>
                <w:rFonts w:ascii="Times New Roman" w:cs="Times New Roman" w:eastAsia="Times New Roman" w:hAnsi="Times New Roman"/>
                <w:sz w:val="14"/>
                <w:szCs w:val="14"/>
                <w:color w:val="auto"/>
              </w:rPr>
              <w:t xml:space="preserve">(b)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left="1360" w:hanging="1190"/>
        <w:spacing w:after="0" w:line="181" w:lineRule="auto"/>
        <w:tabs>
          <w:tab w:leader="none" w:pos="1360" w:val="left"/>
        </w:tabs>
        <w:numPr>
          <w:ilvl w:val="0"/>
          <w:numId w:val="6"/>
        </w:numPr>
        <w:rPr>
          <w:rFonts w:ascii="Times New Roman" w:cs="Times New Roman" w:eastAsia="Times New Roman" w:hAnsi="Times New Roman"/>
          <w:sz w:val="41"/>
          <w:szCs w:val="41"/>
          <w:b w:val="1"/>
          <w:bCs w:val="1"/>
          <w:color w:val="auto"/>
          <w:vertAlign w:val="subscript"/>
        </w:rPr>
      </w:pPr>
      <w:r>
        <w:rPr>
          <w:rFonts w:ascii="Times New Roman" w:cs="Times New Roman" w:eastAsia="Times New Roman" w:hAnsi="Times New Roman"/>
          <w:sz w:val="13"/>
          <w:szCs w:val="13"/>
          <w:color w:val="auto"/>
        </w:rPr>
        <w:t>SEC USE ONLY</w:t>
      </w:r>
    </w:p>
    <w:p>
      <w:pPr>
        <w:ind w:left="1360" w:hanging="1190"/>
        <w:spacing w:after="0" w:line="183" w:lineRule="auto"/>
        <w:tabs>
          <w:tab w:leader="none" w:pos="1360" w:val="left"/>
        </w:tabs>
        <w:numPr>
          <w:ilvl w:val="0"/>
          <w:numId w:val="7"/>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3"/>
          <w:szCs w:val="13"/>
          <w:color w:val="auto"/>
        </w:rPr>
        <w:t>CITIZENSHIP OR PLACE OF ORGANIZATION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Delaware</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5</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0" w:type="dxa"/>
            <w:vAlign w:val="bottom"/>
          </w:tcPr>
          <w:p>
            <w:pPr>
              <w:spacing w:after="0"/>
              <w:rPr>
                <w:sz w:val="23"/>
                <w:szCs w:val="23"/>
                <w:color w:val="auto"/>
              </w:rPr>
            </w:pPr>
          </w:p>
        </w:tc>
        <w:tc>
          <w:tcPr>
            <w:tcW w:w="2200" w:type="dxa"/>
            <w:vAlign w:val="bottom"/>
            <w:tcBorders>
              <w:right w:val="single" w:sz="8" w:color="auto"/>
            </w:tcBorders>
            <w:gridSpan w:val="2"/>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Borders>
              <w:right w:val="single" w:sz="8" w:color="auto"/>
            </w:tcBorders>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5,231,488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91"/>
              <w:spacing w:after="0" w:line="27" w:lineRule="exact"/>
              <w:rPr>
                <w:sz w:val="20"/>
                <w:szCs w:val="20"/>
                <w:color w:val="auto"/>
              </w:rPr>
            </w:pPr>
            <w:r>
              <w:rPr>
                <w:rFonts w:ascii="Times New Roman" w:cs="Times New Roman" w:eastAsia="Times New Roman" w:hAnsi="Times New Roman"/>
                <w:sz w:val="3"/>
                <w:szCs w:val="3"/>
                <w:b w:val="1"/>
                <w:bCs w:val="1"/>
                <w:color w:val="auto"/>
              </w:rPr>
              <w:t>SHARES</w:t>
            </w:r>
          </w:p>
        </w:tc>
        <w:tc>
          <w:tcPr>
            <w:tcW w:w="13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32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0" w:type="dxa"/>
            <w:vAlign w:val="bottom"/>
            <w:tcBorders>
              <w:right w:val="single" w:sz="8" w:color="auto"/>
            </w:tcBorders>
            <w:gridSpan w:val="2"/>
          </w:tcPr>
          <w:p>
            <w:pPr>
              <w:jc w:val="center"/>
              <w:ind w:right="391"/>
              <w:spacing w:after="0" w:line="27" w:lineRule="exact"/>
              <w:rPr>
                <w:sz w:val="20"/>
                <w:szCs w:val="20"/>
                <w:color w:val="auto"/>
              </w:rPr>
            </w:pPr>
            <w:r>
              <w:rPr>
                <w:rFonts w:ascii="Times New Roman" w:cs="Times New Roman" w:eastAsia="Times New Roman" w:hAnsi="Times New Roman"/>
                <w:sz w:val="3"/>
                <w:szCs w:val="3"/>
                <w:b w:val="1"/>
                <w:bCs w:val="1"/>
                <w:color w:val="auto"/>
              </w:rPr>
              <w:t>EACH</w:t>
            </w:r>
          </w:p>
        </w:tc>
        <w:tc>
          <w:tcPr>
            <w:tcW w:w="1320" w:type="dxa"/>
            <w:vAlign w:val="bottom"/>
            <w:tcBorders>
              <w:right w:val="single" w:sz="8" w:color="auto"/>
            </w:tcBorders>
            <w:shd w:val="clear" w:color="auto" w:fill="000000"/>
          </w:tcPr>
          <w:p>
            <w:pPr>
              <w:jc w:val="right"/>
              <w:ind w:right="529"/>
              <w:spacing w:after="0" w:line="27" w:lineRule="exact"/>
              <w:rPr>
                <w:sz w:val="20"/>
                <w:szCs w:val="20"/>
                <w:color w:val="auto"/>
              </w:rPr>
            </w:pPr>
            <w:r>
              <w:rPr>
                <w:rFonts w:ascii="Times New Roman" w:cs="Times New Roman" w:eastAsia="Times New Roman" w:hAnsi="Times New Roman"/>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32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5,231,488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3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2200" w:type="dxa"/>
            <w:vAlign w:val="bottom"/>
            <w:tcBorders>
              <w:right w:val="single" w:sz="8" w:color="auto"/>
            </w:tcBorders>
            <w:gridSpan w:val="2"/>
            <w:vMerge w:val="restart"/>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1320" w:type="dxa"/>
            <w:vAlign w:val="bottom"/>
            <w:tcBorders>
              <w:right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25"/>
                <w:szCs w:val="25"/>
                <w:b w:val="1"/>
                <w:bCs w:val="1"/>
                <w:color w:val="auto"/>
              </w:rPr>
              <w:t>8</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00" w:type="dxa"/>
            <w:vAlign w:val="bottom"/>
            <w:tcBorders>
              <w:right w:val="single" w:sz="8" w:color="auto"/>
            </w:tcBorders>
            <w:gridSpan w:val="2"/>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jc w:val="right"/>
              <w:ind w:right="54"/>
              <w:spacing w:after="0"/>
              <w:rPr>
                <w:sz w:val="20"/>
                <w:szCs w:val="20"/>
                <w:color w:val="auto"/>
              </w:rPr>
            </w:pPr>
            <w:r>
              <w:rPr>
                <w:rFonts w:ascii="Times New Roman" w:cs="Times New Roman" w:eastAsia="Times New Roman" w:hAnsi="Times New Roman"/>
                <w:sz w:val="25"/>
                <w:szCs w:val="25"/>
                <w:b w:val="1"/>
                <w:bCs w:val="1"/>
                <w:color w:val="auto"/>
              </w:rPr>
              <w:t>9</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5,231,488</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r>
              <w:rPr>
                <w:rFonts w:ascii="Times New Roman" w:cs="Times New Roman" w:eastAsia="Times New Roman" w:hAnsi="Times New Roman"/>
                <w:sz w:val="17"/>
                <w:szCs w:val="17"/>
                <w:color w:val="auto"/>
              </w:rPr>
              <w:t>)</w:t>
            </w:r>
          </w:p>
        </w:tc>
        <w:tc>
          <w:tcPr>
            <w:tcW w:w="1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1"/>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11</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line="275" w:lineRule="exact"/>
              <w:rPr>
                <w:sz w:val="20"/>
                <w:szCs w:val="20"/>
                <w:color w:val="auto"/>
              </w:rPr>
            </w:pPr>
            <w:r>
              <w:rPr>
                <w:rFonts w:ascii="Times New Roman" w:cs="Times New Roman" w:eastAsia="Times New Roman" w:hAnsi="Times New Roman"/>
                <w:sz w:val="20"/>
                <w:szCs w:val="20"/>
                <w:color w:val="auto"/>
              </w:rPr>
              <w:t>17.1%</w:t>
            </w:r>
            <w:r>
              <w:rPr>
                <w:rFonts w:ascii="Times New Roman" w:cs="Times New Roman" w:eastAsia="Times New Roman" w:hAnsi="Times New Roman"/>
                <w:sz w:val="31"/>
                <w:szCs w:val="31"/>
                <w:color w:val="auto"/>
                <w:vertAlign w:val="superscript"/>
              </w:rPr>
              <w:t>(1)</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12</w:t>
            </w:r>
          </w:p>
        </w:tc>
        <w:tc>
          <w:tcPr>
            <w:tcW w:w="880" w:type="dxa"/>
            <w:vAlign w:val="bottom"/>
            <w:tcBorders>
              <w:right w:val="single" w:sz="8" w:color="auto"/>
            </w:tcBorders>
          </w:tcPr>
          <w:p>
            <w:pPr>
              <w:spacing w:after="0"/>
              <w:rPr>
                <w:sz w:val="16"/>
                <w:szCs w:val="16"/>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CO</w:t>
            </w:r>
          </w:p>
        </w:tc>
        <w:tc>
          <w:tcPr>
            <w:tcW w:w="13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hanging="491"/>
        <w:spacing w:after="0"/>
        <w:tabs>
          <w:tab w:leader="none" w:pos="5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 ownership calculated is based upon an aggregate of 30,628,813 shares outstanding as of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81728A 108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1(a).</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Sensei Biotherapeutics, Inc.</w:t>
            </w: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1(b).</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1405 Research Blvd, Suite 125, Rockville, MD 20850</w:t>
            </w: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2(a).</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James Peyer and Cambrian BioPharma Inc.</w:t>
            </w: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2(b).</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Address of Principal Business Office or, if none, Residence:</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840" w:type="dxa"/>
            <w:vAlign w:val="bottom"/>
            <w:gridSpan w:val="2"/>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79"/>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7"/>
              </w:rPr>
              <w:t>The business address of each of James Peyer and Cambrian BioPharma Inc. is 228 Park Avenue S, #66643, New</w:t>
            </w:r>
          </w:p>
        </w:tc>
      </w:tr>
      <w:tr>
        <w:trPr>
          <w:trHeight w:val="282"/>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York, New York 10003.</w:t>
            </w: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2(c).</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Mr. Peyer is a United States citizen. Cambrian BioPharma Inc. is a Delaware corporation.</w:t>
            </w: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2(d).</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Title of Class of Securities: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tc>
      </w:tr>
      <w:tr>
        <w:trPr>
          <w:trHeight w:val="43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2(e).</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CUSIP Number:</w:t>
            </w:r>
          </w:p>
        </w:tc>
      </w:tr>
      <w:tr>
        <w:trPr>
          <w:trHeight w:val="518"/>
        </w:trPr>
        <w:tc>
          <w:tcPr>
            <w:tcW w:w="1460" w:type="dxa"/>
            <w:vAlign w:val="bottom"/>
          </w:tcPr>
          <w:p>
            <w:pPr>
              <w:spacing w:after="0"/>
              <w:rPr>
                <w:sz w:val="24"/>
                <w:szCs w:val="24"/>
                <w:color w:val="auto"/>
              </w:rPr>
            </w:pPr>
          </w:p>
        </w:tc>
        <w:tc>
          <w:tcPr>
            <w:tcW w:w="13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81728A 108</w:t>
            </w:r>
          </w:p>
        </w:tc>
        <w:tc>
          <w:tcPr>
            <w:tcW w:w="8360" w:type="dxa"/>
            <w:vAlign w:val="bottom"/>
            <w:gridSpan w:val="6"/>
          </w:tcPr>
          <w:p>
            <w:pPr>
              <w:spacing w:after="0"/>
              <w:rPr>
                <w:sz w:val="24"/>
                <w:szCs w:val="24"/>
                <w:color w:val="auto"/>
              </w:rPr>
            </w:pP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7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If this statement is filed pursuant to sections 240.13d-1(b), or 240.13d-2(b) or (c), check whether the person</w:t>
            </w:r>
          </w:p>
        </w:tc>
      </w:tr>
      <w:tr>
        <w:trPr>
          <w:trHeight w:val="223"/>
        </w:trPr>
        <w:tc>
          <w:tcPr>
            <w:tcW w:w="1460" w:type="dxa"/>
            <w:vAlign w:val="bottom"/>
          </w:tcPr>
          <w:p>
            <w:pPr>
              <w:spacing w:after="0"/>
              <w:rPr>
                <w:sz w:val="19"/>
                <w:szCs w:val="19"/>
                <w:color w:val="auto"/>
              </w:rPr>
            </w:pPr>
          </w:p>
        </w:tc>
        <w:tc>
          <w:tcPr>
            <w:tcW w:w="9320" w:type="dxa"/>
            <w:vAlign w:val="bottom"/>
            <w:tcBorders>
              <w:top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color w:val="auto"/>
              </w:rPr>
              <w:t>filing is a:</w:t>
            </w:r>
          </w:p>
        </w:tc>
        <w:tc>
          <w:tcPr>
            <w:tcW w:w="42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3"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81728A 108</w:t>
      </w:r>
    </w:p>
    <w:p>
      <w:pPr>
        <w:spacing w:after="0" w:line="234"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 240.13d-1(b)(1)(ii)(F);</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 240.13d-1(b)(1)(ii)(G);</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233" w:lineRule="exact"/>
        <w:rPr>
          <w:rFonts w:ascii="Times New Roman" w:cs="Times New Roman" w:eastAsia="Times New Roman" w:hAnsi="Times New Roman"/>
          <w:sz w:val="22"/>
          <w:szCs w:val="22"/>
          <w:color w:val="auto"/>
        </w:rPr>
      </w:pPr>
    </w:p>
    <w:p>
      <w:pPr>
        <w:ind w:right="520" w:firstLine="8"/>
        <w:spacing w:after="0" w:line="258"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185"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 institution in accordance with § 240.13d-1(b)(1)(ii)(J);</w:t>
      </w:r>
    </w:p>
    <w:p>
      <w:pPr>
        <w:spacing w:after="0" w:line="233" w:lineRule="exact"/>
        <w:rPr>
          <w:rFonts w:ascii="Times New Roman" w:cs="Times New Roman" w:eastAsia="Times New Roman" w:hAnsi="Times New Roman"/>
          <w:sz w:val="22"/>
          <w:szCs w:val="22"/>
          <w:color w:val="auto"/>
        </w:rPr>
      </w:pPr>
    </w:p>
    <w:p>
      <w:pPr>
        <w:ind w:firstLine="8"/>
        <w:spacing w:after="0" w:line="258"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 240.13d-1(b)(1)(ii)(K). If filing as a non-U.S. institution in accordance with § 240.13d-1(b)(1) (ii)(J), please specify the type of institution: ____</w:t>
      </w:r>
    </w:p>
    <w:p>
      <w:pPr>
        <w:spacing w:after="0" w:line="18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0" w:hanging="494"/>
        <w:spacing w:after="0"/>
        <w:tabs>
          <w:tab w:leader="none" w:pos="1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1460"/>
        <w:spacing w:after="0" w:line="238" w:lineRule="auto"/>
        <w:rPr>
          <w:sz w:val="20"/>
          <w:szCs w:val="20"/>
          <w:color w:val="auto"/>
        </w:rPr>
      </w:pPr>
      <w:r>
        <w:rPr>
          <w:rFonts w:ascii="Times New Roman" w:cs="Times New Roman" w:eastAsia="Times New Roman" w:hAnsi="Times New Roman"/>
          <w:sz w:val="22"/>
          <w:szCs w:val="22"/>
          <w:color w:val="auto"/>
        </w:rPr>
        <w:t>Consists of 5,231,488 shares of common stock and excludes 36,186 stock options to purchase shares of common stock. All such securities are held by Cambrian Biopharma Inc. Cambrian is a Delaware corporation and Mr. Peyer serves as Cambrian’s Chief Executive Officer. In such capacity Mr. Peyer may direct the voting and disposition of the shares held by Cambrian, subject in certain instances to the approval of Cambrian’s Board of Directors. Mr. Peyer disclaims beneficial ownership of such shares.</w:t>
      </w:r>
    </w:p>
    <w:p>
      <w:pPr>
        <w:spacing w:after="0" w:line="204" w:lineRule="exact"/>
        <w:rPr>
          <w:sz w:val="20"/>
          <w:szCs w:val="20"/>
          <w:color w:val="auto"/>
        </w:rPr>
      </w:pPr>
    </w:p>
    <w:p>
      <w:pPr>
        <w:ind w:left="1960" w:hanging="494"/>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17.1%</w:t>
      </w:r>
    </w:p>
    <w:p>
      <w:pPr>
        <w:spacing w:after="0" w:line="233"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33"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5,231,488</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5,231,488</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u w:val="single" w:color="auto"/>
          <w:color w:val="auto"/>
        </w:rPr>
        <w:t>Ownership of Five Percent or Less of a Class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81728A 108</w:t>
      </w:r>
    </w:p>
    <w:p>
      <w:pPr>
        <w:spacing w:after="0" w:line="234" w:lineRule="exact"/>
        <w:rPr>
          <w:sz w:val="20"/>
          <w:szCs w:val="20"/>
          <w:color w:val="auto"/>
        </w:rPr>
      </w:pPr>
    </w:p>
    <w:p>
      <w:pPr>
        <w:ind w:left="1460" w:hanging="1457"/>
        <w:spacing w:after="0" w:line="258" w:lineRule="auto"/>
        <w:tabs>
          <w:tab w:leader="none" w:pos="14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center"/>
        <w:ind w:right="6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u w:val="single" w:color="auto"/>
          <w:color w:val="auto"/>
        </w:rPr>
        <w:t>/s/ James Peyer</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James Peyer</w:t>
      </w: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Cambrian BioPharma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u w:val="single" w:color="auto"/>
          <w:color w:val="auto"/>
        </w:rPr>
        <w:t>/s/ James Peyer</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James Peyer</w:t>
      </w:r>
    </w:p>
    <w:p>
      <w:pPr>
        <w:ind w:left="3820"/>
        <w:spacing w:after="0"/>
        <w:tabs>
          <w:tab w:leader="none" w:pos="4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CEO</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6"/>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2022-06-10T13:20:20Z</dcterms:created>
  <dcterms:modified xsi:type="dcterms:W3CDTF">2022-06-10T13:20:20Z</dcterms:modified>
</cp:coreProperties>
</file>