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54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Vojta Deneen</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0" w:type="dxa"/>
            <w:vAlign w:val="bottom"/>
            <w:gridSpan w:val="8"/>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Sensei Biotherapeutics,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SNSE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7"/>
            <w:vMerge w:val="continue"/>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SENSEI BIOTHERAPEUTICS,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06/10/2022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451 D STREET, SUITE 710</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02210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06/10/2022</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8"/>
              </w:rPr>
              <w:t>4,466</w:t>
            </w:r>
            <w:r>
              <w:rPr>
                <w:rFonts w:ascii="Times New Roman" w:cs="Times New Roman" w:eastAsia="Times New Roman" w:hAnsi="Times New Roman"/>
                <w:sz w:val="21"/>
                <w:szCs w:val="21"/>
                <w:color w:val="008000"/>
                <w:w w:val="98"/>
                <w:vertAlign w:val="superscript"/>
              </w:rPr>
              <w:t>(1)</w:t>
            </w:r>
          </w:p>
        </w:tc>
        <w:tc>
          <w:tcPr>
            <w:tcW w:w="5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4,466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w:t>
            </w:r>
          </w:p>
        </w:tc>
        <w:tc>
          <w:tcPr>
            <w:tcW w:w="14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06/10/2022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14,550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06/09/2032</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14,550</w:t>
            </w:r>
          </w:p>
        </w:tc>
        <w:tc>
          <w:tcPr>
            <w:tcW w:w="60" w:type="dxa"/>
            <w:vAlign w:val="bottom"/>
          </w:tcPr>
          <w:p>
            <w:pPr>
              <w:spacing w:after="0"/>
              <w:rPr>
                <w:sz w:val="16"/>
                <w:szCs w:val="16"/>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14,550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(the "RSUs"). Each RSU represents a contingent right to receive one share of the common stock of the Issuer. The shares underlying the RSUs vest in full on the first anniversary of the date of grant, or June 10, 2023, subject to the Reporting Person's continuous service with the Issuer through such vesting date.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and become exercisable in 12 equal monthly installments over a one year period such that the option is fully vested on the first anniversary of the date of grant, or June 10, 2023, subject to the Reporting Person's continuous service with the Issuer as of each such vesting date; provided that the option will in any case be fully vested on the date of the Company's next annual stockholder meeting, subject to the Reporting Person's continuous service with the Issuer through such vesting date.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Mark Ballantyne,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06/14/2022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43509" TargetMode="External"/><Relationship Id="rId13"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2022-06-14T15:18:34Z</dcterms:created>
  <dcterms:modified xsi:type="dcterms:W3CDTF">2022-06-14T15:18:34Z</dcterms:modified>
</cp:coreProperties>
</file>