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se-proxy-2024_non-xbrl.htm"/>
      <w:bookmarkStart w:id="1" w:name="kssnseproxy2024_nonxbrl"/>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tbl>
      <w:tblPr>
        <w:tblW w:w="7101" w:type="dxa"/>
        <w:jc w:val="left"/>
        <w:tblInd w:w="0" w:type="dxa"/>
        <w:tblLayout w:type="fixed"/>
        <w:tblCellMar>
          <w:top w:w="28" w:type="dxa"/>
          <w:left w:w="28" w:type="dxa"/>
          <w:bottom w:w="28" w:type="dxa"/>
          <w:right w:w="28" w:type="dxa"/>
        </w:tblCellMar>
      </w:tblPr>
      <w:tblGrid>
        <w:gridCol w:w="331"/>
        <w:gridCol w:w="109"/>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 240.14a-12</w:t>
            </w:r>
          </w:p>
        </w:tc>
      </w:tr>
    </w:tbl>
    <w:p>
      <w:pPr>
        <w:pStyle w:val="TextBody"/>
        <w:bidi w:val="0"/>
        <w:jc w:val="center"/>
        <w:rPr>
          <w:rFonts w:ascii="Times New Roman" w:hAnsi="Times New Roman"/>
          <w:sz w:val="20"/>
        </w:rPr>
      </w:pPr>
      <w:r>
        <w:rPr>
          <w:rFonts w:ascii="Times New Roman" w:hAnsi="Times New Roman"/>
          <w:b/>
          <w:color w:val="000000"/>
          <w:sz w:val="44"/>
        </w:rPr>
        <w:t>Sensei Biotherapeutics,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tbl>
      <w:tblPr>
        <w:tblW w:w="8810" w:type="dxa"/>
        <w:jc w:val="left"/>
        <w:tblInd w:w="0" w:type="dxa"/>
        <w:tblLayout w:type="fixed"/>
        <w:tblCellMar>
          <w:top w:w="28" w:type="dxa"/>
          <w:left w:w="28" w:type="dxa"/>
          <w:bottom w:w="28" w:type="dxa"/>
          <w:right w:w="28" w:type="dxa"/>
        </w:tblCellMar>
      </w:tblPr>
      <w:tblGrid>
        <w:gridCol w:w="331"/>
        <w:gridCol w:w="109"/>
        <w:gridCol w:w="2450"/>
        <w:gridCol w:w="2450"/>
        <w:gridCol w:w="3470"/>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257550"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57550" cy="1200150"/>
                    </a:xfrm>
                    <a:prstGeom prst="rect">
                      <a:avLst/>
                    </a:prstGeom>
                  </pic:spPr>
                </pic:pic>
              </a:graphicData>
            </a:graphic>
          </wp:inline>
        </w:drawing>
      </w:r>
      <w:r>
        <w:rPr>
          <w:color w:val="000000"/>
        </w:rPr>
        <w:t xml:space="preserve"> </w:t>
      </w:r>
    </w:p>
    <w:p>
      <w:pPr>
        <w:pStyle w:val="TextBody"/>
        <w:bidi w:val="0"/>
        <w:jc w:val="center"/>
        <w:rPr>
          <w:rFonts w:ascii="Times New Roman" w:hAnsi="Times New Roman"/>
          <w:sz w:val="20"/>
        </w:rPr>
      </w:pPr>
      <w:r>
        <w:rPr>
          <w:rFonts w:ascii="Times New Roman" w:hAnsi="Times New Roman"/>
          <w:b/>
          <w:color w:val="000000"/>
          <w:sz w:val="20"/>
        </w:rPr>
        <w:t>SENSEI BIOTHERAPEUTICS,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1405 Research Boulevard, Suite 125</w:t>
      </w:r>
    </w:p>
    <w:p>
      <w:pPr>
        <w:pStyle w:val="TextBody"/>
        <w:bidi w:val="0"/>
        <w:jc w:val="center"/>
        <w:rPr>
          <w:rFonts w:ascii="Times New Roman" w:hAnsi="Times New Roman"/>
          <w:b/>
          <w:color w:val="000000"/>
          <w:sz w:val="20"/>
        </w:rPr>
      </w:pPr>
      <w:r>
        <w:rPr>
          <w:rFonts w:ascii="Times New Roman" w:hAnsi="Times New Roman"/>
          <w:b/>
          <w:color w:val="000000"/>
          <w:sz w:val="20"/>
        </w:rPr>
        <w:t>Rockville, Maryland 20850</w:t>
      </w:r>
    </w:p>
    <w:p>
      <w:pPr>
        <w:pStyle w:val="TextBody"/>
        <w:bidi w:val="0"/>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11, 2024</w:t>
      </w:r>
    </w:p>
    <w:p>
      <w:pPr>
        <w:pStyle w:val="TextBody"/>
        <w:bidi w:val="0"/>
        <w:jc w:val="both"/>
        <w:rPr>
          <w:rFonts w:ascii="Times New Roman" w:hAnsi="Times New Roman"/>
          <w:color w:val="000000"/>
          <w:sz w:val="20"/>
        </w:rPr>
      </w:pPr>
      <w:r>
        <w:rPr>
          <w:rFonts w:ascii="Times New Roman" w:hAnsi="Times New Roman"/>
          <w:color w:val="000000"/>
          <w:sz w:val="20"/>
        </w:rPr>
        <w:t xml:space="preserve">Dear Stockholder: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Annual Meeting of stockholders of Sensei Biotherapeutics, Inc. (the “Company”) will be held on Tuesday, June 11, 2024 at 9:00 a.m. Eastern Daylight Time (the “Annual Meeting”). To facilitate stockholder participation in the Annual Meeting, the Annual Meeting will be held through a live webcast at www.proxydocs.com/SNSE. You will not be able to attend the meeting in person. The meeting will be held for the following purposes: </w:t>
      </w:r>
    </w:p>
    <w:tbl>
      <w:tblPr>
        <w:tblW w:w="10205" w:type="dxa"/>
        <w:jc w:val="left"/>
        <w:tblInd w:w="0" w:type="dxa"/>
        <w:tblLayout w:type="fixed"/>
        <w:tblCellMar>
          <w:top w:w="28" w:type="dxa"/>
          <w:left w:w="28" w:type="dxa"/>
          <w:bottom w:w="28" w:type="dxa"/>
          <w:right w:w="28" w:type="dxa"/>
        </w:tblCellMar>
      </w:tblPr>
      <w:tblGrid>
        <w:gridCol w:w="161"/>
        <w:gridCol w:w="235"/>
        <w:gridCol w:w="9809"/>
      </w:tblGrid>
      <w:tr>
        <w:trPr/>
        <w:tc>
          <w:tcPr>
            <w:tcW w:w="1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0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elect the Board’s nominees, Jessie English, James Peyer and Thomas Ricks, to the Board of Directors to hold office until the 2027 Annual Meeting of Stockholders.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To ratify the selection by the Audit Committee of the Board of Directors of Deloitte &amp; Touche LLP as the Company’s independent registered public accounting firm for the year ending December 31, 2024.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 conduct any other business properly brought before the meeting.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These items of business are more fully described in the Proxy Statement accompanying this Notice. This year's Annual Meeting will be held virtually through a live webcast. You will be able to attend the Annual Meeting, submit questions and vote during the live webcast by visiting www.proxydocs.com/SNSE and entering the Control Number included in your proxy card, voting instruction form, or in the instructions that you received via email. Please refer to the additional logistical details and recommendations in the accompanying proxy statement. You may log-in beginning at 8:45 a.m. Eastern Daylight Time, on Tuesday, June 11, 2024. The record date for the Annual Meeting is April 22, 2024. Only stockholders of record at the close of business on that date are entitled to notice of and to vote at the meeting or any adjournment thereof. </w:t>
      </w:r>
    </w:p>
    <w:p>
      <w:pPr>
        <w:pStyle w:val="TextBody"/>
        <w:pBdr>
          <w:top w:val="single" w:sz="8" w:space="1" w:color="000000"/>
          <w:left w:val="single" w:sz="8" w:space="1" w:color="000000"/>
          <w:right w:val="single" w:sz="8" w:space="1" w:color="000000"/>
        </w:pBdr>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Stockholders’ Meeting to Be Held on June 11, 2024.</w:t>
      </w:r>
    </w:p>
    <w:p>
      <w:pPr>
        <w:pStyle w:val="TextBody"/>
        <w:pBdr>
          <w:left w:val="single" w:sz="8" w:space="1" w:color="000000"/>
          <w:bottom w:val="single" w:sz="8" w:space="1" w:color="000000"/>
          <w:right w:val="single" w:sz="8" w:space="1" w:color="000000"/>
        </w:pBdr>
        <w:bidi w:val="0"/>
        <w:jc w:val="center"/>
        <w:rPr>
          <w:rFonts w:ascii="Times New Roman" w:hAnsi="Times New Roman"/>
          <w:color w:val="000000"/>
          <w:sz w:val="20"/>
        </w:rPr>
      </w:pPr>
      <w:r>
        <w:rPr>
          <w:rFonts w:ascii="Times New Roman" w:hAnsi="Times New Roman"/>
          <w:color w:val="000000"/>
          <w:sz w:val="20"/>
        </w:rPr>
        <w:t>The proxy statement and annual report to stockholders are available at www.proxydocs.com/SNSE.</w:t>
      </w:r>
    </w:p>
    <w:p>
      <w:pPr>
        <w:pStyle w:val="TextBody"/>
        <w:bidi w:val="0"/>
        <w:jc w:val="both"/>
        <w:rPr>
          <w:rFonts w:ascii="Times New Roman" w:hAnsi="Times New Roman"/>
          <w:color w:val="000000"/>
          <w:sz w:val="20"/>
        </w:rPr>
      </w:pPr>
      <w:r>
        <w:rPr>
          <w:rFonts w:ascii="Times New Roman" w:hAnsi="Times New Roman"/>
          <w:color w:val="000000"/>
          <w:sz w:val="20"/>
        </w:rPr>
        <w:t xml:space="preserve">By Order of the Board of Directors, </w:t>
      </w:r>
    </w:p>
    <w:p>
      <w:pPr>
        <w:pStyle w:val="TextBody"/>
        <w:bidi w:val="0"/>
        <w:jc w:val="left"/>
        <w:rPr>
          <w:rFonts w:ascii="Times New Roman" w:hAnsi="Times New Roman"/>
          <w:color w:val="000000"/>
          <w:sz w:val="20"/>
        </w:rPr>
      </w:pPr>
      <w:r>
        <w:rPr>
          <w:rFonts w:ascii="Times New Roman" w:hAnsi="Times New Roman"/>
          <w:color w:val="000000"/>
          <w:sz w:val="20"/>
        </w:rPr>
        <w:t>/s/ Christopher W. Gerry</w:t>
      </w:r>
    </w:p>
    <w:p>
      <w:pPr>
        <w:pStyle w:val="TextBody"/>
        <w:bidi w:val="0"/>
        <w:jc w:val="left"/>
        <w:rPr>
          <w:rFonts w:ascii="Times New Roman" w:hAnsi="Times New Roman"/>
          <w:sz w:val="20"/>
        </w:rPr>
      </w:pPr>
      <w:r>
        <w:rPr>
          <w:rFonts w:ascii="Times New Roman" w:hAnsi="Times New Roman"/>
          <w:b/>
          <w:color w:val="000000"/>
          <w:sz w:val="20"/>
        </w:rPr>
        <w:t>Christopher W. Gerry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Counsel and Secretary </w:t>
      </w:r>
    </w:p>
    <w:p>
      <w:pPr>
        <w:pStyle w:val="TextBody"/>
        <w:bidi w:val="0"/>
        <w:jc w:val="both"/>
        <w:rPr>
          <w:rFonts w:ascii="Times New Roman" w:hAnsi="Times New Roman"/>
          <w:color w:val="000000"/>
          <w:sz w:val="20"/>
        </w:rPr>
      </w:pPr>
      <w:r>
        <w:rPr>
          <w:rFonts w:ascii="Times New Roman" w:hAnsi="Times New Roman"/>
          <w:color w:val="000000"/>
          <w:sz w:val="20"/>
        </w:rPr>
        <w:t>Rockville, Maryland</w:t>
      </w:r>
    </w:p>
    <w:p>
      <w:pPr>
        <w:pStyle w:val="TextBody"/>
        <w:bidi w:val="0"/>
        <w:jc w:val="both"/>
        <w:rPr>
          <w:rFonts w:ascii="Times New Roman" w:hAnsi="Times New Roman"/>
          <w:color w:val="000000"/>
          <w:sz w:val="20"/>
        </w:rPr>
      </w:pPr>
      <w:r>
        <w:rPr>
          <w:rFonts w:ascii="Times New Roman" w:hAnsi="Times New Roman"/>
          <w:color w:val="000000"/>
          <w:sz w:val="20"/>
        </w:rPr>
        <w:t>April 29, 2024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58" w:type="dxa"/>
              <w:right w:w="58" w:type="dxa"/>
            </w:tcMar>
            <w:vAlign w:val="center"/>
          </w:tcPr>
          <w:p>
            <w:pPr>
              <w:pStyle w:val="TableContents"/>
              <w:bidi w:val="0"/>
              <w:spacing w:before="0" w:after="283"/>
              <w:jc w:val="both"/>
              <w:rPr>
                <w:rFonts w:ascii="Times New Roman" w:hAnsi="Times New Roman"/>
                <w:sz w:val="18"/>
              </w:rPr>
            </w:pPr>
            <w:r>
              <w:rPr>
                <w:rFonts w:ascii="Arial" w:hAnsi="Arial"/>
                <w:b/>
                <w:color w:val="000000"/>
                <w:sz w:val="18"/>
              </w:rPr>
              <w:t xml:space="preserve">Whether or not you expect to attend the virtual Annual Meeting, please submit voting instructions for your shares promptly using the directions on your proxy card to vote by one of the following methods: (1) over the Internet before the Annual Meeting at </w:t>
            </w:r>
            <w:r>
              <w:rPr>
                <w:rFonts w:ascii="Arial" w:hAnsi="Arial"/>
                <w:b/>
                <w:color w:val="000000"/>
                <w:sz w:val="18"/>
                <w:u w:val="single"/>
              </w:rPr>
              <w:t>www.proxypush.com/SNSE</w:t>
            </w:r>
            <w:r>
              <w:rPr>
                <w:rFonts w:ascii="Times New Roman" w:hAnsi="Times New Roman"/>
                <w:color w:val="000000"/>
                <w:sz w:val="18"/>
              </w:rPr>
              <w:t> </w:t>
            </w:r>
            <w:r>
              <w:rPr>
                <w:rFonts w:ascii="Arial" w:hAnsi="Arial"/>
                <w:b/>
                <w:color w:val="000000"/>
                <w:sz w:val="18"/>
              </w:rPr>
              <w:t xml:space="preserve">and during the Annual Meeting at </w:t>
            </w:r>
            <w:r>
              <w:rPr>
                <w:rFonts w:ascii="Arial" w:hAnsi="Arial"/>
                <w:b/>
                <w:color w:val="000000"/>
                <w:sz w:val="18"/>
                <w:u w:val="single"/>
              </w:rPr>
              <w:t>www.proxydocs.com/SNSE</w:t>
            </w:r>
            <w:r>
              <w:rPr>
                <w:rFonts w:ascii="Arial" w:hAnsi="Arial"/>
                <w:b/>
                <w:color w:val="000000"/>
                <w:sz w:val="18"/>
              </w:rPr>
              <w:t>, (2) by telephone by calling the toll-free number (866) 284-5317,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Table of Contents</w:t>
      </w:r>
    </w:p>
    <w:tbl>
      <w:tblPr>
        <w:tblW w:w="9977" w:type="dxa"/>
        <w:jc w:val="left"/>
        <w:tblInd w:w="0" w:type="dxa"/>
        <w:tblLayout w:type="fixed"/>
        <w:tblCellMar>
          <w:top w:w="28" w:type="dxa"/>
          <w:left w:w="28" w:type="dxa"/>
          <w:bottom w:w="28" w:type="dxa"/>
          <w:right w:w="28" w:type="dxa"/>
        </w:tblCellMar>
      </w:tblPr>
      <w:tblGrid>
        <w:gridCol w:w="9466"/>
        <w:gridCol w:w="511"/>
      </w:tblGrid>
      <w:tr>
        <w:trPr/>
        <w:tc>
          <w:tcPr>
            <w:tcW w:w="94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PROXY STATEMENT: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xy_q_a">
              <w:r>
                <w:rPr>
                  <w:rStyle w:val="InternetLink"/>
                  <w:rFonts w:ascii="Times New Roman" w:hAnsi="Times New Roman"/>
                  <w:color w:val="0000FF"/>
                  <w:sz w:val="20"/>
                  <w:u w:val="single"/>
                </w:rPr>
                <w:t>QUESTIONS AND ANSWERS ABOUT THESE PROXY MATERIALS AND VOTING</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osal1">
              <w:r>
                <w:rPr>
                  <w:rStyle w:val="InternetLink"/>
                  <w:rFonts w:ascii="Times New Roman" w:hAnsi="Times New Roman"/>
                  <w:color w:val="0000FF"/>
                  <w:sz w:val="20"/>
                  <w:u w:val="single"/>
                </w:rPr>
                <w:t>PROPOSAL 1-ELECTION OF DIRECTORS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osal2">
              <w:r>
                <w:rPr>
                  <w:rStyle w:val="InternetLink"/>
                  <w:rFonts w:ascii="Times New Roman" w:hAnsi="Times New Roman"/>
                  <w:color w:val="0000FF"/>
                  <w:sz w:val="20"/>
                  <w:u w:val="single"/>
                </w:rPr>
                <w:t>PROPOSAL 2-RATIFICATION OF SELECTION OF INDEPENDENT REGISTERED PUBLIC ACCOUNTING FIRM</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_officers">
              <w:r>
                <w:rPr>
                  <w:rStyle w:val="InternetLink"/>
                  <w:rFonts w:ascii="Times New Roman" w:hAnsi="Times New Roman"/>
                  <w:color w:val="0000FF"/>
                  <w:sz w:val="20"/>
                  <w:u w:val="single"/>
                </w:rPr>
                <w:t>EXECUTIVE OFFICERS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_ben_own">
              <w:r>
                <w:rPr>
                  <w:rStyle w:val="InternetLink"/>
                  <w:rFonts w:ascii="Times New Roman" w:hAnsi="Times New Roman"/>
                  <w:color w:val="0000FF"/>
                  <w:sz w:val="20"/>
                  <w:u w:val="single"/>
                </w:rPr>
                <w:t xml:space="preserve">SECURITY OWNERSHIP OF CERTAIN BENEFICIAL OWNERS AND MANAGEMENT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linq16a">
              <w:r>
                <w:rPr>
                  <w:rStyle w:val="InternetLink"/>
                  <w:rFonts w:ascii="Times New Roman" w:hAnsi="Times New Roman"/>
                  <w:color w:val="0000FF"/>
                  <w:sz w:val="20"/>
                  <w:u w:val="single"/>
                </w:rPr>
                <w:t>DELINQUENT SECTION 16(A) REPORTS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_comp">
              <w:r>
                <w:rPr>
                  <w:rStyle w:val="InternetLink"/>
                  <w:rFonts w:ascii="Times New Roman" w:hAnsi="Times New Roman"/>
                  <w:color w:val="0000FF"/>
                  <w:sz w:val="20"/>
                  <w:u w:val="single"/>
                </w:rPr>
                <w:t>EXECUTIVE COMPENSATION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_comp">
              <w:r>
                <w:rPr>
                  <w:rStyle w:val="InternetLink"/>
                  <w:rFonts w:ascii="Times New Roman" w:hAnsi="Times New Roman"/>
                  <w:color w:val="0000FF"/>
                  <w:sz w:val="20"/>
                  <w:u w:val="single"/>
                </w:rPr>
                <w:t>DIRECTOR COMPENSATION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ty_comp">
              <w:r>
                <w:rPr>
                  <w:rStyle w:val="InternetLink"/>
                  <w:rFonts w:ascii="Times New Roman" w:hAnsi="Times New Roman"/>
                  <w:color w:val="0000FF"/>
                  <w:sz w:val="20"/>
                  <w:u w:val="single"/>
                </w:rPr>
                <w:t>SECURITIES AUTHORIZED FOR ISSUANCE UNDER EQUITY COMPENSATION PLANS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td_party">
              <w:r>
                <w:rPr>
                  <w:rStyle w:val="InternetLink"/>
                  <w:rFonts w:ascii="Times New Roman" w:hAnsi="Times New Roman"/>
                  <w:color w:val="0000FF"/>
                  <w:sz w:val="20"/>
                  <w:u w:val="single"/>
                </w:rPr>
                <w:t>TRANSACTIONS WITH RELATED PERSONS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ouseholding">
              <w:r>
                <w:rPr>
                  <w:rStyle w:val="InternetLink"/>
                  <w:rFonts w:ascii="Times New Roman" w:hAnsi="Times New Roman"/>
                  <w:color w:val="0000FF"/>
                  <w:sz w:val="20"/>
                  <w:u w:val="single"/>
                </w:rPr>
                <w:t>HOUSEHOLDING OF PROXY MATERIALS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matters">
              <w:r>
                <w:rPr>
                  <w:rStyle w:val="InternetLink"/>
                  <w:rFonts w:ascii="Times New Roman" w:hAnsi="Times New Roman"/>
                  <w:color w:val="0000FF"/>
                  <w:sz w:val="20"/>
                  <w:u w:val="single"/>
                </w:rPr>
                <w:t>OTHER MATTERS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color w:val="000000"/>
          <w:sz w:val="22"/>
        </w:rPr>
      </w:pPr>
      <w:bookmarkStart w:id="2" w:name="proxy_q_a"/>
      <w:bookmarkEnd w:id="2"/>
      <w:r>
        <w:rPr>
          <w:rFonts w:ascii="Times New Roman" w:hAnsi="Times New Roman"/>
          <w:color w:val="000000"/>
          <w:sz w:val="22"/>
        </w:rPr>
        <w:t>SENSEI BIOTHERAPEUTICS, INC.</w:t>
      </w:r>
    </w:p>
    <w:p>
      <w:pPr>
        <w:pStyle w:val="TextBody"/>
        <w:bidi w:val="0"/>
        <w:spacing w:before="120" w:after="120"/>
        <w:jc w:val="center"/>
        <w:rPr>
          <w:rFonts w:ascii="Times New Roman" w:hAnsi="Times New Roman"/>
          <w:sz w:val="20"/>
        </w:rPr>
      </w:pPr>
      <w:r>
        <w:rPr>
          <w:rFonts w:ascii="Times New Roman" w:hAnsi="Times New Roman"/>
          <w:b/>
          <w:color w:val="000000"/>
          <w:sz w:val="20"/>
        </w:rPr>
        <w:t>1405 Research Boulevard, Suite 125</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Rockville, Maryland 28510</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For The 2024 Annual Meeting of Stockholders</w:t>
      </w:r>
      <w:r>
        <w:rPr>
          <w:rFonts w:ascii="Times New Roman" w:hAnsi="Times New Roman"/>
          <w:color w:val="000000"/>
          <w:sz w:val="20"/>
        </w:rPr>
        <w:t xml:space="preserve">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To Be Held on June 11, 2024</w:t>
      </w:r>
    </w:p>
    <w:p>
      <w:pPr>
        <w:pStyle w:val="TextBody"/>
        <w:bidi w:val="0"/>
        <w:spacing w:before="120" w:after="120"/>
        <w:jc w:val="center"/>
        <w:rPr>
          <w:rFonts w:ascii="Times New Roman" w:hAnsi="Times New Roman"/>
          <w:sz w:val="20"/>
        </w:rPr>
      </w:pPr>
      <w:r>
        <w:rPr>
          <w:rFonts w:ascii="Times New Roman" w:hAnsi="Times New Roman"/>
          <w:b/>
          <w:color w:val="000000"/>
          <w:sz w:val="20"/>
        </w:rPr>
        <w:t>QUESTIONS AND ANSWERS ABOUT THESE PROXY MATERIALS AND VOTING</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color w:val="000000"/>
          <w:sz w:val="20"/>
        </w:rPr>
        <w:t>Why am I receiving these materials?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sent you these proxy materials because the Board of Directors of Sensei Biotherapeutics, Inc. (the “Board of Directors”) is soliciting your proxy to vote at the 2024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 We intend to mail these proxy materials on or about April 30, 2024 to all stockholders of record entitled to vote at the Annual Meeting.</w:t>
      </w:r>
    </w:p>
    <w:p>
      <w:pPr>
        <w:pStyle w:val="TextBody"/>
        <w:bidi w:val="0"/>
        <w:spacing w:before="360" w:after="120"/>
        <w:jc w:val="both"/>
        <w:rPr>
          <w:rFonts w:ascii="Times New Roman" w:hAnsi="Times New Roman"/>
          <w:sz w:val="20"/>
        </w:rPr>
      </w:pPr>
      <w:r>
        <w:rPr>
          <w:rFonts w:ascii="Times New Roman" w:hAnsi="Times New Roman"/>
          <w:b/>
          <w:color w:val="000000"/>
          <w:sz w:val="20"/>
        </w:rPr>
        <w:t>How do I attend the Annual Meeting?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facilitate stockholder participation in the Annual Meeting, this year the Annual Meeting will be held through a live webcast at www.proxydocs.com/SNSE. You will not be able to attend the Annual Meeting in person. If you attend the Annual Meeting online, you will be able to vote and submit questions at www.proxydocs.com/SNSE.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You are entitled to attend the Annual Meeting if you were a stockholder as of the close of business on April 22, 2024, the record date, or hold a valid proxy for the meeting. To be admitted to the Annual Meeting, you will need to visit www.proxydocs.com/SNSE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Whether or not you participate in the Annual Meeting, it is important that you vote your shares.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encourage you to access the Annual Meeting before it begins. Online check-in will start approximately 15 minutes before the meeting on June 11, 2024.</w:t>
      </w:r>
    </w:p>
    <w:p>
      <w:pPr>
        <w:pStyle w:val="TextBody"/>
        <w:bidi w:val="0"/>
        <w:spacing w:before="360" w:after="120"/>
        <w:jc w:val="both"/>
        <w:rPr>
          <w:rFonts w:ascii="Times New Roman" w:hAnsi="Times New Roman"/>
          <w:sz w:val="20"/>
        </w:rPr>
      </w:pPr>
      <w:r>
        <w:rPr>
          <w:rFonts w:ascii="Times New Roman" w:hAnsi="Times New Roman"/>
          <w:b/>
          <w:color w:val="000000"/>
          <w:sz w:val="20"/>
        </w:rPr>
        <w:t>What if I cannot find my Control Number?</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have access to a list of control numbers for registered stockholders in the event of a lost number. You may also consult your Mediant Relationship Manager for assistance. Typically, “guest” access is not permitted. Please consult with your Mediant Relationship Manager if you would like to permit guest access.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you are a beneficial owner (that is, you hold your shares in an account at a bank, broker or other holder of record), you will need to contact that bank, broker or other holder of record to obtain your Control Number prior to the Annual Meeting.</w:t>
      </w:r>
    </w:p>
    <w:p>
      <w:pPr>
        <w:pStyle w:val="TextBody"/>
        <w:bidi w:val="0"/>
        <w:spacing w:before="360" w:after="120"/>
        <w:jc w:val="both"/>
        <w:rPr>
          <w:rFonts w:ascii="Times New Roman" w:hAnsi="Times New Roman"/>
          <w:sz w:val="20"/>
        </w:rPr>
      </w:pPr>
      <w:r>
        <w:rPr>
          <w:rFonts w:ascii="Times New Roman" w:hAnsi="Times New Roman"/>
          <w:b/>
          <w:color w:val="000000"/>
          <w:sz w:val="20"/>
        </w:rPr>
        <w:t>Will a list of record stockholders as of the record date be available?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 list of our record stockholders as of the close of business on the record date will be available for inspection at our corporate office for the 10 days ending on the day before the Annual Meeting. If you want to inspect the stockholder list, call our office at (240) 243-8000 to speak with our Investor Relations department to schedule an appointment. </w:t>
      </w:r>
    </w:p>
    <w:p>
      <w:pPr>
        <w:pStyle w:val="TextBody"/>
        <w:bidi w:val="0"/>
        <w:spacing w:before="360" w:after="120"/>
        <w:jc w:val="both"/>
        <w:rPr>
          <w:rFonts w:ascii="Times New Roman" w:hAnsi="Times New Roman"/>
          <w:sz w:val="20"/>
        </w:rPr>
      </w:pPr>
      <w:r>
        <w:rPr>
          <w:rFonts w:ascii="Times New Roman" w:hAnsi="Times New Roman"/>
          <w:b/>
          <w:color w:val="000000"/>
          <w:sz w:val="20"/>
        </w:rPr>
        <w:t>Where can we get technical assistance?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w:t>
      </w:r>
    </w:p>
    <w:p>
      <w:pPr>
        <w:pStyle w:val="TextBody"/>
        <w:bidi w:val="0"/>
        <w:spacing w:before="360" w:after="120"/>
        <w:jc w:val="both"/>
        <w:rPr>
          <w:rFonts w:ascii="Times New Roman" w:hAnsi="Times New Roman"/>
          <w:sz w:val="20"/>
        </w:rPr>
      </w:pPr>
      <w:r>
        <w:rPr>
          <w:rFonts w:ascii="Times New Roman" w:hAnsi="Times New Roman"/>
          <w:b/>
          <w:color w:val="000000"/>
          <w:sz w:val="20"/>
        </w:rPr>
        <w:t>For the Annual Meeting, how do we ask questions of management and the board?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Stockholders may submit questions that are relevant to our business in advance of the Annual Meeting. If you are a stockholder, you may submit a question in advance of the meeting at www/proxydocs.com/SNSE after logging in with your Control Number. We do not intend to post questions or answers to stockholder questions received during the Annual Meeting on our website.</w:t>
      </w:r>
    </w:p>
    <w:p>
      <w:pPr>
        <w:pStyle w:val="TextBody"/>
        <w:bidi w:val="0"/>
        <w:spacing w:before="360" w:after="120"/>
        <w:jc w:val="both"/>
        <w:rPr>
          <w:rFonts w:ascii="Times New Roman" w:hAnsi="Times New Roman"/>
          <w:sz w:val="20"/>
        </w:rPr>
      </w:pPr>
      <w:r>
        <w:rPr>
          <w:rFonts w:ascii="Times New Roman" w:hAnsi="Times New Roman"/>
          <w:b/>
          <w:color w:val="000000"/>
          <w:sz w:val="20"/>
        </w:rPr>
        <w:t>Who can vote at the Annual Meeting?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Only stockholders of record at the close of business on April 22, 2024 will be entitled to vote at the Annual Meeting. On this record date, there were 25,080,958 shares of common stock outstanding and entitled to vote. </w:t>
      </w:r>
    </w:p>
    <w:p>
      <w:pPr>
        <w:pStyle w:val="TextBody"/>
        <w:bidi w:val="0"/>
        <w:spacing w:before="120" w:after="12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on April 22, 2024 your shares were registered directly in your name with our transfer agent, Equiniti Trust Company, LLC (formerly American Stock Transfer &amp; Trust Company, LLC), then you are a stockholder of record. As a stockholder of record, you may vote virtually at the meeting or vote by proxy. Whether or not you plan to attend the meeting, we urge you to fill out and return the enclosed proxy card or vote by proxy over the telephone or on the internet as instructed below to ensure your vote is counted. </w:t>
      </w:r>
    </w:p>
    <w:p>
      <w:pPr>
        <w:pStyle w:val="TextBody"/>
        <w:bidi w:val="0"/>
        <w:spacing w:before="120" w:after="120"/>
        <w:jc w:val="both"/>
        <w:rPr>
          <w:rFonts w:ascii="Times New Roman" w:hAnsi="Times New Roman"/>
          <w:sz w:val="20"/>
        </w:rPr>
      </w:pPr>
      <w:r>
        <w:rPr>
          <w:rFonts w:ascii="Times New Roman" w:hAnsi="Times New Roman"/>
          <w:i/>
          <w:color w:val="000000"/>
          <w:sz w:val="20"/>
        </w:rPr>
        <w:t>Beneficial Owner: Shares Registered in the Name of a Broker or Bank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on April 22, 2024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virtually at the meeting unless you request and obtain a valid legal proxy from your broker or other agent. </w:t>
      </w:r>
    </w:p>
    <w:p>
      <w:pPr>
        <w:pStyle w:val="TextBody"/>
        <w:bidi w:val="0"/>
        <w:spacing w:before="360" w:after="120"/>
        <w:jc w:val="left"/>
        <w:rPr>
          <w:rFonts w:ascii="Times New Roman" w:hAnsi="Times New Roman"/>
          <w:sz w:val="20"/>
        </w:rPr>
      </w:pPr>
      <w:r>
        <w:rPr>
          <w:rFonts w:ascii="Times New Roman" w:hAnsi="Times New Roman"/>
          <w:b/>
          <w:color w:val="000000"/>
          <w:sz w:val="20"/>
        </w:rPr>
        <w:t>What am I voting 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color w:val="000000"/>
          <w:sz w:val="20"/>
        </w:rPr>
        <w:t>There are two matters scheduled for a vote: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256"/>
        <w:gridCol w:w="146"/>
        <w:gridCol w:w="9642"/>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642"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Times New Roman" w:hAnsi="Times New Roman"/>
                <w:color w:val="000000"/>
                <w:sz w:val="20"/>
                <w:u w:val="single"/>
              </w:rPr>
              <w:t>Proposal No. 1</w:t>
            </w:r>
            <w:r>
              <w:rPr>
                <w:rFonts w:ascii="Times New Roman" w:hAnsi="Times New Roman"/>
                <w:color w:val="000000"/>
                <w:sz w:val="20"/>
              </w:rPr>
              <w:t xml:space="preserve"> – Election of three directors; and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2"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sz w:val="20"/>
              </w:rPr>
            </w:pPr>
            <w:r>
              <w:rPr>
                <w:rFonts w:ascii="Times New Roman" w:hAnsi="Times New Roman"/>
                <w:color w:val="000000"/>
                <w:sz w:val="20"/>
                <w:u w:val="single"/>
              </w:rPr>
              <w:t>Proposal No. 2</w:t>
            </w:r>
            <w:r>
              <w:rPr>
                <w:rFonts w:ascii="Times New Roman" w:hAnsi="Times New Roman"/>
                <w:color w:val="000000"/>
                <w:sz w:val="20"/>
              </w:rPr>
              <w:t xml:space="preserve"> – Ratification of selection by the Audit Committee of the Board of Directors of Deloitte &amp; Touche LLP as the independent registered public accounting firm of the Company for the year ending December 31, 2024. </w:t>
            </w:r>
          </w:p>
        </w:tc>
      </w:tr>
    </w:tbl>
    <w:p>
      <w:pPr>
        <w:pStyle w:val="TextBody"/>
        <w:bidi w:val="0"/>
        <w:spacing w:before="360" w:after="120"/>
        <w:jc w:val="both"/>
        <w:rPr>
          <w:rFonts w:ascii="Times New Roman" w:hAnsi="Times New Roman"/>
          <w:sz w:val="20"/>
        </w:rPr>
      </w:pPr>
      <w:r>
        <w:rPr>
          <w:rFonts w:ascii="Times New Roman" w:hAnsi="Times New Roman"/>
          <w:b/>
          <w:color w:val="000000"/>
          <w:sz w:val="20"/>
        </w:rPr>
        <w:t>What if another matter is properly brought before the meeting?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60" w:after="120"/>
        <w:jc w:val="both"/>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You may either vote “For” all of the nominees to the Board of Directors or you may “Withhold” your vote for any nominee you specify. For the other matter to be voted on, you may vote “For” or “Against” or abstain from voting.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procedures for voting are: </w:t>
      </w:r>
    </w:p>
    <w:p>
      <w:pPr>
        <w:pStyle w:val="TextBody"/>
        <w:bidi w:val="0"/>
        <w:spacing w:before="120" w:after="12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 are a stockholder of record, you may vote virtually at the Annual Meeting or vote by proxy in one of three ways: online, by telephone or using the enclosed proxy card. Whether or not you plan to attend the meeting, we urge you to vote by proxy to ensure your vote is counted. You may still attend the Annual Meeting and vote virtually even if you have already voted by proxy.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vote during the Annual Meeting, if you are a stockholder of record as of the record date, follow the instructions provided via e-mail after registering at www.proxydocs.com/SNSE. You will need to enter the Control Number found in your proxy card.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vote prior to the Annual Meeting you may vote via the Internet at www.proxypush.com/SNSE; by telephone; or by completing and returning the enclosed proxy card or voting instruction form, as described below.</w:t>
        <w:b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To vote online, go to www.proxypush.com/SNSE. You will be asked to provide the Company number and control number found in the enclosed proxy card. Your vote must be received to be counted. </w:t>
            </w:r>
          </w:p>
        </w:tc>
      </w:tr>
    </w:tbl>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To vote over the telephone, dial toll-free (866) 284-5317. You will be asked to provide the control number found in the enclosed proxy card. Your vote must be received to be counted.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To vote by mail you can vote by promptly completing and returning your signed proxy card in the envelope provided. You should mail your signed proxy card sufficiently in advance for it to be received by June 11, 2024. </w:t>
            </w:r>
          </w:p>
        </w:tc>
      </w:tr>
    </w:tbl>
    <w:p>
      <w:pPr>
        <w:pStyle w:val="TextBody"/>
        <w:bidi w:val="0"/>
        <w:spacing w:before="120" w:after="120"/>
        <w:jc w:val="both"/>
        <w:rPr>
          <w:rFonts w:ascii="Times New Roman" w:hAnsi="Times New Roman"/>
          <w:sz w:val="20"/>
        </w:rPr>
      </w:pPr>
      <w:r>
        <w:rPr>
          <w:rFonts w:ascii="Times New Roman" w:hAnsi="Times New Roman"/>
          <w:i/>
          <w:color w:val="000000"/>
          <w:sz w:val="20"/>
        </w:rPr>
        <w:t>Beneficial Owner: Shares Registered in the Name of Broker or Bank</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If you are a beneficial owner of shares registered in the name of your broker, bank or other agent, you should have received a voting instruction form with these proxy materials from that organization rather than from us. To vote prior to the meeting, simply complete and mail the voting instruction form to ensure that your vote is counted. Alternatively, you may vote by telephone or over the internet as instructed by your broker or bank. You may access and vote at the meeting by registering to attend the meeting at www.proxydocs.com/SNSE using your control number on your voting instruction form and by requesting a valid proxy from your broker, bank or other agent.</w:t>
      </w:r>
    </w:p>
    <w:p>
      <w:pPr>
        <w:pStyle w:val="TextBody"/>
        <w:bidi w:val="0"/>
        <w:jc w:val="left"/>
        <w:rPr/>
      </w:pPr>
      <w:r>
        <w:rPr/>
        <w:t> </w:t>
      </w:r>
    </w:p>
    <w:p>
      <w:pPr>
        <w:pStyle w:val="TextBody"/>
        <w:pBdr>
          <w:top w:val="single" w:sz="8" w:space="1" w:color="000000"/>
          <w:left w:val="single" w:sz="8" w:space="1" w:color="000000"/>
          <w:bottom w:val="single" w:sz="8" w:space="1" w:color="000000"/>
          <w:right w:val="single" w:sz="8" w:space="1" w:color="000000"/>
        </w:pBdr>
        <w:bidi w:val="0"/>
        <w:jc w:val="left"/>
        <w:rPr>
          <w:rFonts w:ascii="Times New Roman" w:hAnsi="Times New Roman"/>
          <w:sz w:val="20"/>
        </w:rPr>
      </w:pPr>
      <w:r>
        <w:rPr>
          <w:rFonts w:ascii="Times New Roman" w:hAnsi="Times New Roman"/>
          <w:b/>
          <w:color w:val="000000"/>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 w:hAnsi="Times New Roman"/>
          <w:color w:val="000000"/>
          <w:sz w:val="2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How many votes do I have?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each matter to be voted upon, you have one vote for each share of common stock you own as of April 22, 2024. </w:t>
      </w:r>
    </w:p>
    <w:p>
      <w:pPr>
        <w:pStyle w:val="TextBody"/>
        <w:bidi w:val="0"/>
        <w:spacing w:before="360" w:after="120"/>
        <w:jc w:val="both"/>
        <w:rPr>
          <w:rFonts w:ascii="Times New Roman" w:hAnsi="Times New Roman"/>
          <w:sz w:val="20"/>
        </w:rPr>
      </w:pPr>
      <w:r>
        <w:rPr>
          <w:rFonts w:ascii="Times New Roman" w:hAnsi="Times New Roman"/>
          <w:b/>
          <w:color w:val="000000"/>
          <w:sz w:val="20"/>
        </w:rPr>
        <w:t>What happens if I do not vote?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 are a stockholder of record and do not vote by completing your proxy card, by telephone or through the internet at the Annual Meeting, your shares will not be voted. </w:t>
      </w:r>
    </w:p>
    <w:p>
      <w:pPr>
        <w:pStyle w:val="TextBody"/>
        <w:bidi w:val="0"/>
        <w:spacing w:before="120" w:after="120"/>
        <w:jc w:val="both"/>
        <w:rPr>
          <w:rFonts w:ascii="Times New Roman" w:hAnsi="Times New Roman"/>
          <w:sz w:val="20"/>
        </w:rPr>
      </w:pPr>
      <w:r>
        <w:rPr>
          <w:rFonts w:ascii="Times New Roman" w:hAnsi="Times New Roman"/>
          <w:i/>
          <w:color w:val="000000"/>
          <w:sz w:val="20"/>
        </w:rPr>
        <w:t>Beneficial Owner: Shares Registered in the Name of Broker or Bank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No. 1, but may vote your shares on Proposal No. 2 even in the absence of your instruction.</w:t>
      </w:r>
    </w:p>
    <w:p>
      <w:pPr>
        <w:pStyle w:val="TextBody"/>
        <w:bidi w:val="0"/>
        <w:spacing w:before="360" w:after="120"/>
        <w:jc w:val="both"/>
        <w:rPr>
          <w:rFonts w:ascii="Times New Roman" w:hAnsi="Times New Roman"/>
          <w:sz w:val="20"/>
        </w:rPr>
      </w:pPr>
      <w:r>
        <w:rPr>
          <w:rFonts w:ascii="Times New Roman" w:hAnsi="Times New Roman"/>
          <w:b/>
          <w:color w:val="000000"/>
          <w:sz w:val="20"/>
        </w:rPr>
        <w:t>What if I return a proxy card or otherwise vote but do not make specific choices?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voting selections, your shares will be voted, as applicable, “For” the election of all nominees for director and “For” the ratification of Deloitte &amp; Touche LLP as independent auditors for the year ending December 31, 2024. If any other matter is properly presented at the meeting, your proxyholder (one of the individuals named on your proxy card) will vote your shares using his or her best judgment. </w:t>
      </w:r>
    </w:p>
    <w:p>
      <w:pPr>
        <w:pStyle w:val="TextBody"/>
        <w:bidi w:val="0"/>
        <w:spacing w:before="360" w:after="120"/>
        <w:jc w:val="both"/>
        <w:rPr>
          <w:rFonts w:ascii="Times New Roman" w:hAnsi="Times New Roman"/>
          <w:sz w:val="20"/>
        </w:rPr>
      </w:pPr>
      <w:r>
        <w:rPr>
          <w:rFonts w:ascii="Times New Roman" w:hAnsi="Times New Roman"/>
          <w:b/>
          <w:color w:val="000000"/>
          <w:sz w:val="20"/>
        </w:rPr>
        <w:t>Who is paying for this proxy solicitation?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will pay for the entire cost of soliciting proxies. In addition to these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 </w:t>
      </w:r>
    </w:p>
    <w:p>
      <w:pPr>
        <w:pStyle w:val="TextBody"/>
        <w:bidi w:val="0"/>
        <w:spacing w:before="360" w:after="120"/>
        <w:jc w:val="both"/>
        <w:rPr>
          <w:rFonts w:ascii="Times New Roman" w:hAnsi="Times New Roman"/>
          <w:sz w:val="20"/>
        </w:rPr>
      </w:pPr>
      <w:r>
        <w:rPr>
          <w:rFonts w:ascii="Times New Roman" w:hAnsi="Times New Roman"/>
          <w:b/>
          <w:color w:val="000000"/>
          <w:sz w:val="20"/>
        </w:rPr>
        <w:t>What does it mean if I receive more than one set of proxy materials?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 receive more than one set of proxy materials, your shares may be registered in more than one name or in different accounts. Please follow the voting instructions in the proxy materials to ensure that all of your shares are voted.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r>
        <w:rPr>
          <w:rFonts w:ascii="Times New Roman" w:hAnsi="Times New Roman"/>
          <w:b/>
          <w:color w:val="000000"/>
          <w:sz w:val="20"/>
        </w:rPr>
        <w:t>Can I change my vote after submitting my proxy?</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Yes. You can revoke your proxy at any time before the final vote at the meeting. If you are the record holder of your shares, you may revoke your proxy in any one of the following ways: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583"/>
        <w:gridCol w:w="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You may submit another properly completed proxy card with a later date. </w:t>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You may grant a subsequent proxy by telephone or through the internet.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You may send a timely written notice that you are revoking your proxy to our Corporate Secretary at 1405 Research Blvd, Suite 125, Rockville, Maryland 20850.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You may attend the Annual Meeting and vote online. Simply attending the meeting will not, by itself, revoke your proxy.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Your most current proxy card or telephone or internet proxy is the one that is counted. </w:t>
      </w:r>
    </w:p>
    <w:p>
      <w:pPr>
        <w:pStyle w:val="TextBody"/>
        <w:bidi w:val="0"/>
        <w:spacing w:before="120" w:after="120"/>
        <w:jc w:val="both"/>
        <w:rPr>
          <w:rFonts w:ascii="Times New Roman" w:hAnsi="Times New Roman"/>
          <w:sz w:val="20"/>
        </w:rPr>
      </w:pPr>
      <w:r>
        <w:rPr>
          <w:rFonts w:ascii="Times New Roman" w:hAnsi="Times New Roman"/>
          <w:i/>
          <w:color w:val="000000"/>
          <w:sz w:val="20"/>
        </w:rPr>
        <w:t>Beneficial Owner: Shares Registered in the Name of Broker or Bank</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your shares are held by your broker or bank as a nominee or agent, you should follow the instructions provided by your broker or bank. </w:t>
      </w:r>
    </w:p>
    <w:p>
      <w:pPr>
        <w:pStyle w:val="TextBody"/>
        <w:bidi w:val="0"/>
        <w:spacing w:before="360" w:after="120"/>
        <w:jc w:val="both"/>
        <w:rPr>
          <w:rFonts w:ascii="Times New Roman" w:hAnsi="Times New Roman"/>
          <w:sz w:val="20"/>
        </w:rPr>
      </w:pPr>
      <w:r>
        <w:rPr>
          <w:rFonts w:ascii="Times New Roman" w:hAnsi="Times New Roman"/>
          <w:b/>
          <w:color w:val="000000"/>
          <w:sz w:val="20"/>
        </w:rPr>
        <w:t>When are stockholder proposals and director nominations due for next year’s Annual Meeting?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be considered for inclusion in next year’s proxy materials, your proposal must be submitted in writing by December 31, 2024 to our Corporate Secretary at 1405 Research Blvd, Suite 125, Rockville, Maryland 20850. If you wish to nominate an individual for election at, or bring business other than through a stockholder proposal before, the 2024 Annual Meeting, you must deliver your notice to our Corporate Secretary at the address above between February 11, 2025 and March 13, 2025. Your notice to the Corporate Secretary must set forth information specified in our bylaws, including your name and address and the class and number of shares of our stock that you beneficially own. In addition to satisfying the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more information, and for more detailed requirements, please refer to our Amended and Restated Bylaws, filed as Exhibit 3.2 to our Annual Report on Form 10-K, filed with the Securities and Exchange Commission (the “SEC”) on February 29, 2024. </w:t>
      </w:r>
    </w:p>
    <w:p>
      <w:pPr>
        <w:pStyle w:val="TextBody"/>
        <w:bidi w:val="0"/>
        <w:spacing w:before="360" w:after="120"/>
        <w:jc w:val="both"/>
        <w:rPr>
          <w:rFonts w:ascii="Times New Roman" w:hAnsi="Times New Roman"/>
          <w:sz w:val="20"/>
        </w:rPr>
      </w:pPr>
      <w:r>
        <w:rPr>
          <w:rFonts w:ascii="Times New Roman" w:hAnsi="Times New Roman"/>
          <w:b/>
          <w:color w:val="000000"/>
          <w:sz w:val="20"/>
        </w:rPr>
        <w:t>How are votes counted?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Votes will be counted by the inspector of election appointed for the meeting, who will separately count, for the proposal to elect directors, votes “For,” “Withhold” and broker non-votes, and with respect to the ratification of independent auditors, votes “For,” “Against” and abstentions. For Proposal No. 1, broker non-votes will have no effect and will not be counted toward the vote total for any of the director nominees. For Proposal No. 2, abstentions will be counted and will have the same effect as “Against” votes. </w:t>
      </w:r>
    </w:p>
    <w:p>
      <w:pPr>
        <w:pStyle w:val="TextBody"/>
        <w:bidi w:val="0"/>
        <w:spacing w:before="360" w:after="120"/>
        <w:jc w:val="left"/>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w:t>
      </w:r>
    </w:p>
    <w:p>
      <w:pPr>
        <w:pStyle w:val="TextBody"/>
        <w:bidi w:val="0"/>
        <w:spacing w:before="360" w:after="120"/>
        <w:jc w:val="both"/>
        <w:rPr>
          <w:rFonts w:ascii="Times New Roman" w:hAnsi="Times New Roman"/>
          <w:sz w:val="20"/>
        </w:rPr>
      </w:pPr>
      <w:r>
        <w:rPr>
          <w:rFonts w:ascii="Times New Roman" w:hAnsi="Times New Roman"/>
          <w:b/>
          <w:color w:val="000000"/>
          <w:sz w:val="20"/>
        </w:rPr>
        <w:t>How many votes are needed to approve each proposal?</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minimum vote needed to approve each proposal and the effect of abstentions and broker non-votes. </w:t>
      </w:r>
    </w:p>
    <w:tbl>
      <w:tblPr>
        <w:tblW w:w="10205" w:type="dxa"/>
        <w:jc w:val="left"/>
        <w:tblInd w:w="0" w:type="dxa"/>
        <w:tblLayout w:type="fixed"/>
        <w:tblCellMar>
          <w:top w:w="28" w:type="dxa"/>
          <w:left w:w="28" w:type="dxa"/>
          <w:bottom w:w="28" w:type="dxa"/>
          <w:right w:w="28" w:type="dxa"/>
        </w:tblCellMar>
      </w:tblPr>
      <w:tblGrid>
        <w:gridCol w:w="646"/>
        <w:gridCol w:w="247"/>
        <w:gridCol w:w="109"/>
        <w:gridCol w:w="3109"/>
        <w:gridCol w:w="109"/>
        <w:gridCol w:w="3379"/>
        <w:gridCol w:w="109"/>
        <w:gridCol w:w="1083"/>
        <w:gridCol w:w="109"/>
        <w:gridCol w:w="1305"/>
      </w:tblGrid>
      <w:tr>
        <w:trPr/>
        <w:tc>
          <w:tcPr>
            <w:tcW w:w="6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89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2"/>
            <w:tcBorders>
              <w:bottom w:val="single" w:sz="6" w:space="0" w:color="000000"/>
            </w:tcBorders>
            <w:tcMar>
              <w:top w:w="0" w:type="dxa"/>
              <w:left w:w="0" w:type="dxa"/>
              <w:right w:w="0" w:type="dxa"/>
            </w:tcMar>
            <w:vAlign w:val="center"/>
          </w:tcPr>
          <w:p>
            <w:pPr>
              <w:pStyle w:val="TableContents"/>
              <w:bidi w:val="0"/>
              <w:spacing w:before="120" w:after="120"/>
              <w:jc w:val="center"/>
              <w:rPr>
                <w:rFonts w:ascii="Times New Roman" w:hAnsi="Times New Roman"/>
                <w:sz w:val="20"/>
              </w:rPr>
            </w:pPr>
            <w:r>
              <w:rPr>
                <w:rFonts w:ascii="Times New Roman" w:hAnsi="Times New Roman"/>
                <w:b/>
                <w:color w:val="000000"/>
                <w:sz w:val="20"/>
              </w:rPr>
              <w:t>Proposal</w:t>
            </w:r>
            <w:r>
              <w:rPr>
                <w:rFonts w:ascii="Times New Roman" w:hAnsi="Times New Roman"/>
                <w:color w:val="000000"/>
                <w:sz w:val="20"/>
              </w:rPr>
              <w:t xml:space="preserve"> </w:t>
            </w:r>
          </w:p>
          <w:p>
            <w:pPr>
              <w:pStyle w:val="TableContents"/>
              <w:bidi w:val="0"/>
              <w:spacing w:before="120" w:after="120"/>
              <w:jc w:val="center"/>
              <w:rPr>
                <w:rFonts w:ascii="Times New Roman" w:hAnsi="Times New Roman"/>
                <w:sz w:val="20"/>
              </w:rPr>
            </w:pPr>
            <w:r>
              <w:rPr>
                <w:rFonts w:ascii="Times New Roman" w:hAnsi="Times New Roman"/>
                <w:b/>
                <w:color w:val="000000"/>
                <w:sz w:val="20"/>
              </w:rPr>
              <w:t>Number</w:t>
            </w:r>
            <w:r>
              <w:rPr>
                <w:rFonts w:ascii="Times New Roman" w:hAnsi="Times New Roman"/>
                <w:color w:val="000000"/>
                <w:sz w:val="20"/>
              </w:rPr>
              <w:t xml:space="preserve"> </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9" w:type="dxa"/>
            <w:tcBorders>
              <w:bottom w:val="single" w:sz="6" w:space="0" w:color="000000"/>
            </w:tcBorders>
            <w:tcMar>
              <w:top w:w="0" w:type="dxa"/>
              <w:left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Proposal Description</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9" w:type="dxa"/>
            <w:tcBorders>
              <w:bottom w:val="single" w:sz="6" w:space="0" w:color="000000"/>
            </w:tcBorders>
            <w:tcMar>
              <w:top w:w="0" w:type="dxa"/>
              <w:left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Vote Required for Approval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6" w:space="0" w:color="000000"/>
            </w:tcBorders>
            <w:tcMar>
              <w:top w:w="0" w:type="dxa"/>
              <w:left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Effect of</w:t>
            </w:r>
          </w:p>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tcBorders>
              <w:bottom w:val="single" w:sz="6" w:space="0" w:color="000000"/>
            </w:tcBorders>
            <w:tcMar>
              <w:top w:w="0" w:type="dxa"/>
              <w:left w:w="0" w:type="dxa"/>
              <w:right w:w="0" w:type="dxa"/>
            </w:tcMar>
            <w:vAlign w:val="center"/>
          </w:tcPr>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Effect of</w:t>
            </w:r>
          </w:p>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Broker Non-</w:t>
            </w:r>
          </w:p>
          <w:p>
            <w:pPr>
              <w:pStyle w:val="TableContents"/>
              <w:bidi w:val="0"/>
              <w:spacing w:before="120" w:after="120"/>
              <w:jc w:val="center"/>
              <w:rPr>
                <w:rFonts w:ascii="Times New Roman" w:hAnsi="Times New Roman"/>
                <w:b/>
                <w:color w:val="000000"/>
                <w:sz w:val="20"/>
              </w:rPr>
            </w:pPr>
            <w:r>
              <w:rPr>
                <w:rFonts w:ascii="Times New Roman" w:hAnsi="Times New Roman"/>
                <w:b/>
                <w:color w:val="000000"/>
                <w:sz w:val="20"/>
              </w:rPr>
              <w:t>Votes</w:t>
            </w:r>
          </w:p>
        </w:tc>
      </w:tr>
      <w:tr>
        <w:trPr/>
        <w:tc>
          <w:tcPr>
            <w:tcW w:w="89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2"/>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Election of Directors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Nominees receiving the most “For” votes.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No effect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No effect</w:t>
            </w:r>
          </w:p>
        </w:tc>
      </w:tr>
      <w:tr>
        <w:trPr/>
        <w:tc>
          <w:tcPr>
            <w:tcW w:w="89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2"/>
            <w:tcBorders/>
            <w:tcMar>
              <w:top w:w="0" w:type="dxa"/>
              <w:left w:w="0" w:type="dxa"/>
              <w:bottom w:w="0" w:type="dxa"/>
              <w:righ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Ratification of the appointment of Deloitte &amp; Touche LLP as our independent registered public accounting firm for the year ending 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r>
              <w:rPr>
                <w:rFonts w:ascii="Times New Roman" w:hAnsi="Times New Roman"/>
                <w:color w:val="000000"/>
                <w:sz w:val="20"/>
              </w:rPr>
              <w:t>For” votes from holders of a majority of the stock having voting power present virtually or represented by proxy at the 2024 Annual Meeting and entitled to vote on the matter.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Against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sz w:val="20"/>
              </w:rPr>
            </w:pPr>
            <w:r>
              <w:rPr>
                <w:rFonts w:ascii="Times New Roman" w:hAnsi="Times New Roman"/>
                <w:color w:val="000000"/>
                <w:sz w:val="20"/>
              </w:rPr>
              <w:t xml:space="preserve">Brokers have discretion to vote </w:t>
            </w:r>
            <w:r>
              <w:rPr>
                <w:rFonts w:ascii="Times New Roman" w:hAnsi="Times New Roman"/>
                <w:color w:val="000000"/>
                <w:sz w:val="13"/>
              </w:rPr>
              <w:t>(1)</w:t>
            </w:r>
          </w:p>
        </w:tc>
      </w:tr>
      <w:tr>
        <w:trPr/>
        <w:tc>
          <w:tcPr>
            <w:tcW w:w="893"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(1)</w:t>
            </w:r>
          </w:p>
        </w:tc>
        <w:tc>
          <w:tcPr>
            <w:tcW w:w="9559" w:type="dxa"/>
            <w:gridSpan w:val="9"/>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We do not expect there to be broker-non votes on this matter.</w:t>
            </w:r>
          </w:p>
        </w:tc>
      </w:tr>
    </w:tbl>
    <w:p>
      <w:pPr>
        <w:pStyle w:val="TextBody"/>
        <w:bidi w:val="0"/>
        <w:spacing w:before="360" w:after="120"/>
        <w:jc w:val="both"/>
        <w:rPr>
          <w:rFonts w:ascii="Times New Roman" w:hAnsi="Times New Roman"/>
          <w:sz w:val="20"/>
        </w:rPr>
      </w:pPr>
      <w:r>
        <w:rPr>
          <w:rFonts w:ascii="Times New Roman" w:hAnsi="Times New Roman"/>
          <w:b/>
          <w:color w:val="000000"/>
          <w:sz w:val="20"/>
        </w:rPr>
        <w:t>What is the quorum requirement?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 quorum of stockholders is necessary to hold a valid meeting. A quorum is present if stockholders holding at least a majority of the outstanding shares entitled to vote are present at the Annual Meeting virtually or represented by proxy. On the record date, there were 25,080,958 shares outstanding and entitled to vote. Thus, the holders of 12,540,480 shares must be present virtually or represented by proxy at the Annual Meeting to have a quorum.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chairman of the Annual Meeting or the holders of a majority of shares present at the Annual Meeting virtually or represented by proxy may adjourn the meeting to another date. </w:t>
      </w:r>
    </w:p>
    <w:p>
      <w:pPr>
        <w:pStyle w:val="TextBody"/>
        <w:bidi w:val="0"/>
        <w:spacing w:before="360" w:after="120"/>
        <w:jc w:val="both"/>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Preliminary voting results will be announced at the Annual Meeting. In addition, final voting results will be published in a current report on Form 8-K that we expect to file within four business days after the Annual Meeting.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3" w:name="proposal1"/>
      <w:bookmarkEnd w:id="3"/>
      <w:r>
        <w:rPr>
          <w:rFonts w:ascii="Times New Roman" w:hAnsi="Times New Roman"/>
          <w:b/>
          <w:color w:val="000000"/>
          <w:sz w:val="20"/>
        </w:rPr>
        <w:t>PROPOSAL NO. 1</w:t>
      </w:r>
      <w:r>
        <w:rPr>
          <w:rFonts w:ascii="Times New Roman" w:hAnsi="Times New Roman"/>
          <w:color w:val="000000"/>
          <w:sz w:val="20"/>
        </w:rPr>
        <w:t xml:space="preserve"> </w:t>
      </w:r>
    </w:p>
    <w:p>
      <w:pPr>
        <w:pStyle w:val="TextBody"/>
        <w:bidi w:val="0"/>
        <w:spacing w:before="360" w:after="12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Board of Directors is divided into three classes and currently has eight members.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are three directors in the class whose term of office expires in 2024: Jessie English, James Peyer and Thomas Ricks. Each of the nominees is currently a director of the Company and each nominee, other than Dr. English, was previously elected by the stockholders. Dr. English was recommended to the Nominating and Corporate Governance Committee for nomination by our Chief Executive Officer. If elected at the Annual Meeting, these nominees will serve until the 2027 Annual Meeting and until his or her successor has been duly elected and qualified, or, if sooner, until his or her death, resignation or removal. It is the Company’s policy to invite and encourage directors and nominees for director to attend the Annual Meeting. All of the directors attended the 2023 Annual Meeting of Stockholders.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Directors are elected by a plurality of the votes of the holders of shares present virtually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of the nominees becomes unavailable for election as a result of an unexpected occurrence, shares that would have been voted for that nominee may instead be voted for the election of a substitute nominee that we propose. Each person nominated for election has agreed to serve if elected. We have no reason to believe that any of the nominees will be unable to 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Nominating and Corporate Governance Committee seeks to assemble a board that, as a whole, possesses the appropriate balance of professional and industry knowledge, financial expertise and high-level management experience and capability in various areas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experience, judgment, commitment, skills, diversity, expertise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Corporate Governance Committee to believe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brief biography of each nominee for director and their ages as of April 29, 2024, along with a discussion of the specific experience, qualifications, attributes or skills of each nominee that led the Nominating and Corporate Governance Committee to recommend that person as a nominee for director.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CLASS III DIRECTOR NOMINEES FOR ELECTION FOR A THREE-YEAR TERM EXPIRING AT THE 2027 ANNUAL MEETING</w:t>
      </w:r>
    </w:p>
    <w:p>
      <w:pPr>
        <w:pStyle w:val="TextBody"/>
        <w:bidi w:val="0"/>
        <w:spacing w:before="360" w:after="120"/>
        <w:jc w:val="both"/>
        <w:rPr>
          <w:rFonts w:ascii="Times New Roman" w:hAnsi="Times New Roman"/>
          <w:sz w:val="20"/>
        </w:rPr>
      </w:pPr>
      <w:r>
        <w:rPr>
          <w:rFonts w:ascii="Times New Roman" w:hAnsi="Times New Roman"/>
          <w:b/>
          <w:i/>
          <w:color w:val="000000"/>
          <w:sz w:val="20"/>
        </w:rPr>
        <w:t>Jessie English</w:t>
      </w:r>
      <w:r>
        <w:rPr>
          <w:rFonts w:ascii="Times New Roman" w:hAnsi="Times New Roman"/>
          <w:i/>
          <w:color w:val="000000"/>
          <w:sz w:val="20"/>
        </w:rPr>
        <w:t>, age 60</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Jessie M. English, Ph.D. has served as a member of our board of directors since April 2021. Dr. English served as the Chief Scientific Officer of Bakx Therapeutics, Inc. from November 2020 to November 2022. Prior to Bakx, Dr. English was the Chief Scientific Officer at Tilos Therapeutics, Inc. from June 2018 to November 2019. Prior to that, she was the Vice President and Head of Discovery TIP-IO at EMD Serono, Merck KGaA from 2016 to May 2018. From 2012 to 2016, Dr. English served as the Head of Research at the Belfer Center Dana-Farber Cancer Institute, Harvard Medical School. Earlier in her career, she held various positions in the Department of Oncology Discovery at Schering-Plough Research Institute from 1998 to 2004, held various positions at Pfizer Research Technology Center from 2004 to 2008, was the Senior Director and External Discovery Oncology Lead at Merck Research Laboratories from 2008 to 2010 and was the Vice President, Kinase Biology at ArQule Inc. from 2010 to 2011. Dr. English received a B.S. in Biochemistry from Kansas State University, a Ph.D. in Neurobiology from the University of North Carolina at Chapel Hill and was a Postdoctoral Fellow at the University of Texas Southwestern Medical Center at Dallas. We believe that Dr. English’s significant scientific experience and experience as an executive of life sciences companies qualifies her to serve on our board of directors.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r>
        <w:rPr>
          <w:rFonts w:ascii="Times New Roman" w:hAnsi="Times New Roman"/>
          <w:b/>
          <w:i/>
          <w:color w:val="000000"/>
          <w:sz w:val="20"/>
        </w:rPr>
        <w:t>James Peyer</w:t>
      </w:r>
      <w:r>
        <w:rPr>
          <w:rFonts w:ascii="Times New Roman" w:hAnsi="Times New Roman"/>
          <w:i/>
          <w:color w:val="000000"/>
          <w:sz w:val="20"/>
        </w:rPr>
        <w:t>, age 37</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James Peyer, Ph.D. has served as a member of our board of directors since January 2020. In September 2019, Dr. Peyer founded Cambrian Biopharma, where he serves as the Chief Executive Officer. In 2018, Dr. Peyer founded Cleara Biotech, a biopharmaceutical company, where he served as Executive Director from February 2018 to June 2019. Dr. Peyer also founded and served as Managing Partner at Apollo Health Ventures GmbH from 2016 until March 2019. Prior to his service at Apollo Ventures, Dr. Peyer served as a consultant at McKinsey &amp; Company from 2015 until 2016. Dr. Peyer received a B.A. in Biology from the University of Chicago and a Ph.D. in Stem Cell Biology at The University of Texas Southwestern Medical Center at Dallas. We believe that Dr. Peyer’s experience in the biopharmaceutical industry, his years of business and leadership experience and expertise qualifies him to serve on our board of directors. </w:t>
      </w:r>
    </w:p>
    <w:p>
      <w:pPr>
        <w:pStyle w:val="TextBody"/>
        <w:bidi w:val="0"/>
        <w:spacing w:before="360" w:after="120"/>
        <w:jc w:val="both"/>
        <w:rPr>
          <w:rFonts w:ascii="Times New Roman" w:hAnsi="Times New Roman"/>
          <w:sz w:val="20"/>
        </w:rPr>
      </w:pPr>
      <w:r>
        <w:rPr>
          <w:rFonts w:ascii="Times New Roman" w:hAnsi="Times New Roman"/>
          <w:b/>
          <w:i/>
          <w:color w:val="000000"/>
          <w:sz w:val="20"/>
        </w:rPr>
        <w:t>Thomas Ricks</w:t>
      </w:r>
      <w:r>
        <w:rPr>
          <w:rFonts w:ascii="Times New Roman" w:hAnsi="Times New Roman"/>
          <w:i/>
          <w:color w:val="000000"/>
          <w:sz w:val="20"/>
        </w:rPr>
        <w:t>, age 71</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Thomas Ricks has served as a member of our board of directors since 2015. Mr. Ricks served as former Chief Investment Officer of H&amp;S Ventures, LLC, a Forbes 150 family office, from 2001 until his retirement in 2018. Prior to his service, Mr. Ricks served as Chief Executive Officer of The University of Texas Investment Management Company from 1996 to 2001. Mr. Ricks has been a director of Ovintiv, Inc. since 2019 and currently serves as Chair of the Human Resources and Compensation Committee, and on the Corporate Responsibility and Governance Committee. He was a director of Newfield Exploration Company from 1992 to 2019 and most recently served as Chair of its Audit Committee. Mr. Ricks also served on the boards of several privately-held companies; BDM International (acquired by TRW), LifeCell Corporation, and Argus Pharmaceuticals. Mr. Ricks is a former director of the Ocean Institute, and a former member of the Investment Committees for St. David’s Foundation and the University of California – Irvine Foundation. Mr. Ricks received a B.A. in Economics from Trinity College and an M.B.A. from the University of Chicago. We believe Mr. Ricks’ extensive experience as a director of public and private companies in the healthcare industry qualifies him to serve on our board of directors. </w:t>
      </w:r>
    </w:p>
    <w:p>
      <w:pPr>
        <w:pStyle w:val="TextBody"/>
        <w:bidi w:val="0"/>
        <w:spacing w:before="360" w:after="120"/>
        <w:jc w:val="center"/>
        <w:rPr>
          <w:rFonts w:ascii="Times New Roman" w:hAnsi="Times New Roman"/>
          <w:sz w:val="20"/>
        </w:rPr>
      </w:pPr>
      <w:r>
        <w:rPr>
          <w:rFonts w:ascii="Times New Roman" w:hAnsi="Times New Roman"/>
          <w:b/>
          <w:color w:val="000000"/>
          <w:sz w:val="20"/>
        </w:rPr>
        <w:t>THE BOARD OF DIRECTORS RECOMMENDS</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A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EACH NAMED NOMINEE.</w:t>
      </w:r>
      <w:r>
        <w:rPr>
          <w:rFonts w:ascii="Times New Roman" w:hAnsi="Times New Roman"/>
          <w:color w:val="000000"/>
          <w:sz w:val="20"/>
        </w:rPr>
        <w:t xml:space="preserve">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CLASS I DIRECTORS CONTINUING IN OFFICE UNTIL THE 2025 ANNUAL MEETING</w:t>
      </w:r>
    </w:p>
    <w:p>
      <w:pPr>
        <w:pStyle w:val="TextBody"/>
        <w:bidi w:val="0"/>
        <w:spacing w:before="360" w:after="120"/>
        <w:jc w:val="both"/>
        <w:rPr>
          <w:rFonts w:ascii="Times New Roman" w:hAnsi="Times New Roman"/>
          <w:sz w:val="20"/>
        </w:rPr>
      </w:pPr>
      <w:r>
        <w:rPr>
          <w:rFonts w:ascii="Times New Roman" w:hAnsi="Times New Roman"/>
          <w:b/>
          <w:i/>
          <w:color w:val="000000"/>
          <w:sz w:val="20"/>
        </w:rPr>
        <w:t>John Celebi</w:t>
      </w:r>
      <w:r>
        <w:rPr>
          <w:rFonts w:ascii="Times New Roman" w:hAnsi="Times New Roman"/>
          <w:i/>
          <w:color w:val="000000"/>
          <w:sz w:val="20"/>
        </w:rPr>
        <w:t>, age 52</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John Celebi has served as our President and Chief Executive Officer and a member of our board of directors since February 2018. Prior to joining us, from 2016 until February 2018, Mr. Celebi served as Chief Operating Officer of X4 Pharmaceuticals, Inc., a clinical-stage biopharmaceutical company. Prior to X4 Pharmaceuticals, from 2011 until 2016, he served as Chief Business Officer at Igenica Biotherapeutics, Inc., an immunotherapy company. Prior to joining Igenica Biotherapeutics, Mr. Celebi served in various roles at ArQule, Inc., a biotechnology and pharmaceutical company from 2003 until 2011, including as Vice President of Business Development and New Product Planning and Alliance Management. Mr. Celebi received a B.S. in Biophysics from the University of California, San Diego and an M.B.A. from Carnegie Mellon University. We believe that Mr. Celebi’s perspective and deep experience in the biotechnology industry, as well as his experience leading our company as the President and Chief Executive Officer, qualifies him to serve on our board of directors. </w:t>
      </w:r>
    </w:p>
    <w:p>
      <w:pPr>
        <w:pStyle w:val="TextBody"/>
        <w:bidi w:val="0"/>
        <w:spacing w:before="360" w:after="120"/>
        <w:jc w:val="both"/>
        <w:rPr>
          <w:rFonts w:ascii="Times New Roman" w:hAnsi="Times New Roman"/>
          <w:sz w:val="20"/>
        </w:rPr>
      </w:pPr>
      <w:r>
        <w:rPr>
          <w:rFonts w:ascii="Times New Roman" w:hAnsi="Times New Roman"/>
          <w:b/>
          <w:i/>
          <w:color w:val="000000"/>
          <w:sz w:val="20"/>
        </w:rPr>
        <w:t>William Ringo</w:t>
      </w:r>
      <w:r>
        <w:rPr>
          <w:rFonts w:ascii="Times New Roman" w:hAnsi="Times New Roman"/>
          <w:i/>
          <w:color w:val="000000"/>
          <w:sz w:val="20"/>
        </w:rPr>
        <w:t>, age 78</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William Ringo has served as the chair of our board of directors since March 2022. Mr. Ringo most recently served as Interim Chief Executive Officer of Five Prime Therapeutics, Inc. (Five Prime) from September 2019 until April 2020. From 2010 until 2015, Mr. Ringo was a senior advisor with Barclays Capital, the global investment banking division of Barclays Bank PLC. From 2010 until 2015, Mr. Ringo served as a strategic advisor with Sofinnova Ventures, a life sciences-focused investment firm. Prior to his advisory roles with Barclays Capital and Sofinnova Ventures, Mr. Ringo served as Senior Vice President of Strategy and Business Development for Pfizer Inc., a biopharmaceutical company, from 2008 until his retirement in 2010. From 2004 to 2006, Mr. Ringo served as President and Chief Executive Officer of Abgenix, Inc., a biotechnology company acquired by Amgen, Inc. His experience in the global pharmaceutical sector also includes nearly 30 years with Lilly. Over the course of his career with Lilly, Mr. Ringo served in numerous executive roles, including Product Group President for oncology and critical care, President of internal medicine products, President of the infectious diseases business unit, and Vice President of sales and marketing for U.S. pharmaceuticals. He also was a member of Lilly’s operating committee. Mr. Ringo has been a director of Assembly Biosciences, Inc. since 2014 and has served as non-executive Chairman of the Board since 2015. In the last five years, Mr. Ringo was formerly a director of Five Prime, Immune Design Corp., Sangamo Biosciences, Inc., Mirati Technologies, Inc. and, prior to its being acquired by Lilly, Dermira, Inc. Mr. Ringo received a B.S. in business administration and an M.B.A. from the University of Dayton. We believe that Mr. Ringo’s significant scientific and board experience qualifies him to serve on our board of directors.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r>
        <w:rPr>
          <w:rFonts w:ascii="Times New Roman" w:hAnsi="Times New Roman"/>
          <w:b/>
          <w:color w:val="000000"/>
          <w:sz w:val="20"/>
        </w:rPr>
        <w:t>CLASS II DIRECTORS CONTINUING IN OFFICE UNTIL THE 2026 ANNUAL MEETING</w:t>
      </w:r>
      <w:r>
        <w:rPr>
          <w:rFonts w:ascii="Times New Roman" w:hAnsi="Times New Roman"/>
          <w:color w:val="000000"/>
          <w:sz w:val="20"/>
        </w:rPr>
        <w:t xml:space="preserve"> </w:t>
      </w:r>
    </w:p>
    <w:p>
      <w:pPr>
        <w:pStyle w:val="TextBody"/>
        <w:bidi w:val="0"/>
        <w:spacing w:before="360" w:after="120"/>
        <w:jc w:val="left"/>
        <w:rPr>
          <w:rFonts w:ascii="Times New Roman" w:hAnsi="Times New Roman"/>
          <w:sz w:val="20"/>
        </w:rPr>
      </w:pPr>
      <w:r>
        <w:rPr>
          <w:rFonts w:ascii="Times New Roman" w:hAnsi="Times New Roman"/>
          <w:b/>
          <w:i/>
          <w:color w:val="000000"/>
          <w:sz w:val="20"/>
        </w:rPr>
        <w:t>Bob Holmen</w:t>
      </w:r>
      <w:r>
        <w:rPr>
          <w:rFonts w:ascii="Times New Roman" w:hAnsi="Times New Roman"/>
          <w:i/>
          <w:color w:val="000000"/>
          <w:sz w:val="20"/>
        </w:rPr>
        <w:t>, age 60</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Bob Holmen has served as a member of our board of directors since January 2017. Mr. Holmen provides legal services focused on venture capital and private equity markets to investors through his boutique law firm Investor Counsel, where he has served as a Principal since 2016. Mr. Holmen has also served as a Managing Director since 2001 and Chief Financial Officer since 2002 at Miramar Venture Partners, a venture capital firm, and as a Principal of Holmen Ventures, a strategic financial consulting firm, since 2013. Prior to Miramar, Mr. Holmen served as an Executive Officer for CoCensys, Inc., a biopharmaceutical company, and First Consulting Group, Inc., a healthcare consulting firm. Mr. Holmen received a B.S. in Electrical Engineering from Stanford University and a J.D. from University of California, Berkeley School of Law. We believe that Mr. Holmen’s education and professional background in advising companies in the biotechnology industry qualifies him to serve on our board of directors. </w:t>
      </w:r>
    </w:p>
    <w:p>
      <w:pPr>
        <w:pStyle w:val="TextBody"/>
        <w:bidi w:val="0"/>
        <w:spacing w:before="360" w:after="120"/>
        <w:jc w:val="left"/>
        <w:rPr>
          <w:rFonts w:ascii="Times New Roman" w:hAnsi="Times New Roman"/>
          <w:sz w:val="20"/>
        </w:rPr>
      </w:pPr>
      <w:r>
        <w:rPr>
          <w:rFonts w:ascii="Times New Roman" w:hAnsi="Times New Roman"/>
          <w:b/>
          <w:i/>
          <w:color w:val="000000"/>
          <w:sz w:val="20"/>
        </w:rPr>
        <w:t>Deneen Vojta</w:t>
      </w:r>
      <w:r>
        <w:rPr>
          <w:rFonts w:ascii="Times New Roman" w:hAnsi="Times New Roman"/>
          <w:color w:val="000000"/>
          <w:sz w:val="20"/>
        </w:rPr>
        <w:t xml:space="preserve">, </w:t>
      </w:r>
      <w:r>
        <w:rPr>
          <w:rFonts w:ascii="Times New Roman" w:hAnsi="Times New Roman"/>
          <w:i/>
          <w:color w:val="000000"/>
          <w:sz w:val="20"/>
        </w:rPr>
        <w:t>age 59</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Deneen Vojta, M.D. has served as a member of our board of directors since January 2021. Dr. Vojta has served in various roles at UnitedHealth Group since 2006, including most recently as the Executive Vice President for Global Research &amp; Development since 2016. Prior to UnitedHealth, she founded Mynetico, a company focused on the childhood obesity epidemic, and served as its Chief Executive Officer from 2003 to 2006. Prior to that, she served as the Chief Medical Officer of Health Partners from 1997 to 2000 and Frankford Health System from 2000 to 2003. Dr. Vojta has been a director of HIKMA Pharmaceuticals since 2022 and a director of Canary Medical Inc. since 2023. Dr. Vojta received a B.S. from the University of Pittsburgh and an M.D. from Temple University School of Medicine. We believe that Dr. Vojta’s significant scientific experience and experience as an executive of life sciences companies qualifies her to serve on our board of directors.</w:t>
      </w:r>
    </w:p>
    <w:p>
      <w:pPr>
        <w:pStyle w:val="TextBody"/>
        <w:bidi w:val="0"/>
        <w:spacing w:before="360" w:after="120"/>
        <w:jc w:val="left"/>
        <w:rPr>
          <w:rFonts w:ascii="Times New Roman" w:hAnsi="Times New Roman"/>
          <w:sz w:val="20"/>
        </w:rPr>
      </w:pPr>
      <w:r>
        <w:rPr>
          <w:rFonts w:ascii="Times New Roman" w:hAnsi="Times New Roman"/>
          <w:b/>
          <w:i/>
          <w:color w:val="000000"/>
          <w:sz w:val="20"/>
        </w:rPr>
        <w:t>Kristian Humer</w:t>
      </w:r>
      <w:r>
        <w:rPr>
          <w:rFonts w:ascii="Times New Roman" w:hAnsi="Times New Roman"/>
          <w:color w:val="000000"/>
          <w:sz w:val="20"/>
        </w:rPr>
        <w:t xml:space="preserve">, </w:t>
      </w:r>
      <w:r>
        <w:rPr>
          <w:rFonts w:ascii="Times New Roman" w:hAnsi="Times New Roman"/>
          <w:i/>
          <w:color w:val="000000"/>
          <w:sz w:val="20"/>
        </w:rPr>
        <w:t>age 49</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Kristian Humer has served as a member of our board of directors since July 2021. Mr. Humer has served as the Chief Financial Officer of Foghorn Therapeutics Inc. since April 2024. Prior to Foghorn, Mr. Humer served as the Chief Financial Officer and Chief Business Officer of Viridian Therapeutics Inc. from July 2021 to September 2023. Prior to Veridian, Mr. Humer served as Managing Director of Banking, Capital Markets and Advisory for the Global Healthcare team at Citigroup Inc., from 2017 to July 2021, where he helped lead the firm’s investment banking advisory engagements for small- and mid-sized biopharma and select large cap pharmaceutical companies. He previously served in a number of roles at Citigroup Inc., including Director, Healthcare Investment Banking from 2014 to 2016, Vice President, Healthcare Investment Banking from 2011 to 2013 and Associate, Healthcare Investment Banking in 2010. Prior to joining Citigroup Inc., Mr. Humer served as Vice President and Associate in the Investment Banking Division for the Global Healthcare team at Lehman Brothers, Inc. from 2007 to 2009. Mr. Humer started his career serving positions of increasing responsibility in the investment banking and private banking divisions of UBS AG and Merrill Lynch (a Bank of America company). He received an MBA from the Fuqua School of Business at Duke University and a B.A. (Hons) in Accounting &amp; Economics from the University of Reading, United Kingdom. We believe that Mr. Humer’s experience in the biopharmaceutical industry and his years of investment banking and leadership experience qualify him to serve on our board of directors.</w:t>
      </w:r>
    </w:p>
    <w:p>
      <w:pPr>
        <w:pStyle w:val="TextBody"/>
        <w:bidi w:val="0"/>
        <w:spacing w:before="120" w:after="120"/>
        <w:jc w:val="center"/>
        <w:rPr>
          <w:rFonts w:ascii="Times New Roman" w:hAnsi="Times New Roman"/>
          <w:sz w:val="20"/>
        </w:rPr>
      </w:pPr>
      <w:r>
        <w:rPr>
          <w:rFonts w:ascii="Times New Roman" w:hAnsi="Times New Roman"/>
          <w:b/>
          <w:color w:val="000000"/>
          <w:sz w:val="20"/>
        </w:rPr>
        <w:t>INFORMATION REGARDING THE BOARD OF DIRECTORS AND CORPORATE GOVERNANCE</w:t>
      </w:r>
      <w:r>
        <w:rPr>
          <w:rFonts w:ascii="Times New Roman" w:hAnsi="Times New Roman"/>
          <w:color w:val="000000"/>
          <w:sz w:val="20"/>
        </w:rPr>
        <w:t xml:space="preserve"> </w:t>
      </w:r>
    </w:p>
    <w:p>
      <w:pPr>
        <w:pStyle w:val="TextBody"/>
        <w:bidi w:val="0"/>
        <w:spacing w:before="360" w:after="120"/>
        <w:jc w:val="both"/>
        <w:rPr>
          <w:rFonts w:ascii="Times New Roman" w:hAnsi="Times New Roman"/>
          <w:sz w:val="20"/>
        </w:rPr>
      </w:pPr>
      <w:r>
        <w:rPr>
          <w:rFonts w:ascii="Times New Roman" w:hAnsi="Times New Roman"/>
          <w:b/>
          <w:color w:val="000000"/>
          <w:sz w:val="20"/>
        </w:rPr>
        <w:t>INDEPENDENCE OF THE BOARD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all of our directors except for Mr. Celebi, representing seven of our eight directors, are “independent directors” as defined under current rules and regulations of the SEC and the listing standards of the Nasdaq Stock Market. In addition, our Board of Directors determined that Samuel Broder, who served on the Board during 2023 but is no longer on the Board, was "independent" during the period he served on the Board. In making these determinations, our Board of Directors considered the current and prior relationships that each non-employee director has with our company and all other facts and circumstances that our Board of Directors deemed relevant in determining their independence. There are no family relationships among any of our directors or executive officers.</w:t>
      </w:r>
    </w:p>
    <w:p>
      <w:pPr>
        <w:pStyle w:val="TextBody"/>
        <w:bidi w:val="0"/>
        <w:spacing w:before="360" w:after="120"/>
        <w:jc w:val="both"/>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of Directors of the Company has a Chairman, Mr. Ringo, who has authority, among other things, to call and preside over Board meetings, to set meeting agendas and to determine materials to be distributed to the Board. Accordingly, the Board Chairman has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substantial ability to shape the work of the Board. We believe that separation of the positions of Board Chairman and Chief Executive Officer reinforces the independence of the Board in its oversight of the business and affairs of the Company. In addition, we believe that having a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our stockholders. As a result, we believe that having a Board Chairman can enhance the effectiveness of the Board as a whole.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BOARD DIVERSITY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provides information relating to certain voluntary self-identified characteristics of our directors. Each of the categories listed in the table below has the meaning as set forth in the applicable listing requirements of The Nasdaq Stock Market Rule 5605(f).</w:t>
      </w:r>
    </w:p>
    <w:tbl>
      <w:tblPr>
        <w:tblW w:w="9929" w:type="dxa"/>
        <w:jc w:val="left"/>
        <w:tblInd w:w="0" w:type="dxa"/>
        <w:tblLayout w:type="fixed"/>
        <w:tblCellMar>
          <w:top w:w="28" w:type="dxa"/>
          <w:left w:w="28" w:type="dxa"/>
          <w:bottom w:w="28" w:type="dxa"/>
          <w:right w:w="28" w:type="dxa"/>
        </w:tblCellMar>
      </w:tblPr>
      <w:tblGrid>
        <w:gridCol w:w="5546"/>
        <w:gridCol w:w="211"/>
        <w:gridCol w:w="466"/>
        <w:gridCol w:w="146"/>
        <w:gridCol w:w="631"/>
        <w:gridCol w:w="146"/>
        <w:gridCol w:w="961"/>
        <w:gridCol w:w="146"/>
        <w:gridCol w:w="1676"/>
      </w:tblGrid>
      <w:tr>
        <w:trPr/>
        <w:tc>
          <w:tcPr>
            <w:tcW w:w="5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left"/>
              <w:rPr/>
            </w:pPr>
            <w:r>
              <w:rPr/>
              <w:t> </w:t>
            </w:r>
          </w:p>
        </w:tc>
      </w:tr>
      <w:tr>
        <w:trPr/>
        <w:tc>
          <w:tcPr>
            <w:tcW w:w="55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April 29, 2024)</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size</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jc w:val="center"/>
              <w:rPr/>
            </w:pPr>
            <w:r>
              <w:rPr/>
              <w:t> </w:t>
            </w:r>
          </w:p>
        </w:tc>
      </w:tr>
      <w:tr>
        <w:trPr/>
        <w:tc>
          <w:tcPr>
            <w:tcW w:w="55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Gender</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Non-Binary</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Gender Undisclosed</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Number of directors based on gender identity</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Number of directors who identify in any of the categories below</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African American or Black</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Alaskan Native or American Indian</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Asian</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Native Hawaiian or Pacific Islander</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White</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Two or More Races or Ethnicities</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LGBTQ+</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Undisclosed</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jc w:val="center"/>
              <w:rPr/>
            </w:pPr>
            <w:r>
              <w:rPr/>
              <w:t> </w:t>
            </w:r>
          </w:p>
        </w:tc>
      </w:tr>
    </w:tbl>
    <w:p>
      <w:pPr>
        <w:pStyle w:val="TextBody"/>
        <w:bidi w:val="0"/>
        <w:spacing w:before="360" w:after="120"/>
        <w:jc w:val="both"/>
        <w:rPr/>
      </w:pPr>
      <w:r>
        <w:rPr/>
        <w:t> </w:t>
      </w:r>
    </w:p>
    <w:tbl>
      <w:tblPr>
        <w:tblW w:w="9929" w:type="dxa"/>
        <w:jc w:val="left"/>
        <w:tblInd w:w="0" w:type="dxa"/>
        <w:tblLayout w:type="fixed"/>
        <w:tblCellMar>
          <w:top w:w="28" w:type="dxa"/>
          <w:left w:w="28" w:type="dxa"/>
          <w:bottom w:w="28" w:type="dxa"/>
          <w:right w:w="28" w:type="dxa"/>
        </w:tblCellMar>
      </w:tblPr>
      <w:tblGrid>
        <w:gridCol w:w="5546"/>
        <w:gridCol w:w="211"/>
        <w:gridCol w:w="466"/>
        <w:gridCol w:w="146"/>
        <w:gridCol w:w="631"/>
        <w:gridCol w:w="146"/>
        <w:gridCol w:w="961"/>
        <w:gridCol w:w="146"/>
        <w:gridCol w:w="1676"/>
      </w:tblGrid>
      <w:tr>
        <w:trPr/>
        <w:tc>
          <w:tcPr>
            <w:tcW w:w="5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left"/>
              <w:rPr/>
            </w:pPr>
            <w:r>
              <w:rPr/>
              <w:t> </w:t>
            </w:r>
          </w:p>
        </w:tc>
      </w:tr>
      <w:tr>
        <w:trPr/>
        <w:tc>
          <w:tcPr>
            <w:tcW w:w="55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June 15, 2023)</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size</w:t>
            </w:r>
          </w:p>
        </w:tc>
        <w:tc>
          <w:tcPr>
            <w:tcW w:w="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jc w:val="center"/>
              <w:rPr/>
            </w:pPr>
            <w:r>
              <w:rPr/>
              <w:t> </w:t>
            </w:r>
          </w:p>
        </w:tc>
      </w:tr>
      <w:tr>
        <w:trPr/>
        <w:tc>
          <w:tcPr>
            <w:tcW w:w="55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Gender</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Non-Binary</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Gender Undisclosed</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Number of directors based on gender identity</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Number of directors who identify in any of the categories below</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African American or Black</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Alaskan Native or American Indian</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Asian</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Native Hawaiian or Pacific Islander</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White</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Two or More Races or Ethnicities</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ind w:left="0" w:right="0" w:firstLine="100"/>
              <w:jc w:val="center"/>
              <w:rPr/>
            </w:pPr>
            <w:r>
              <w:rPr/>
              <w:t> </w:t>
            </w:r>
          </w:p>
        </w:tc>
      </w:tr>
      <w:tr>
        <w:trPr/>
        <w:tc>
          <w:tcPr>
            <w:tcW w:w="554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LGBTQ+</w:t>
            </w:r>
          </w:p>
        </w:tc>
        <w:tc>
          <w:tcPr>
            <w:tcW w:w="211"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96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676" w:type="dxa"/>
            <w:tcBorders/>
            <w:shd w:fill="CCEEFF" w:val="clear"/>
            <w:vAlign w:val="center"/>
          </w:tcPr>
          <w:p>
            <w:pPr>
              <w:pStyle w:val="TableContents"/>
              <w:bidi w:val="0"/>
              <w:spacing w:before="0" w:after="283"/>
              <w:ind w:left="0" w:right="0" w:firstLine="100"/>
              <w:jc w:val="center"/>
              <w:rPr/>
            </w:pPr>
            <w:r>
              <w:rPr/>
              <w:t> </w:t>
            </w:r>
          </w:p>
        </w:tc>
      </w:tr>
      <w:tr>
        <w:trPr/>
        <w:tc>
          <w:tcPr>
            <w:tcW w:w="55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Undisclosed</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tcBorders/>
            <w:shd w:fill="FFFFFF" w:val="clear"/>
            <w:vAlign w:val="center"/>
          </w:tcPr>
          <w:p>
            <w:pPr>
              <w:pStyle w:val="TableContents"/>
              <w:bidi w:val="0"/>
              <w:spacing w:before="0" w:after="283"/>
              <w:jc w:val="center"/>
              <w:rPr/>
            </w:pPr>
            <w:r>
              <w:rPr/>
              <w:t> </w:t>
            </w:r>
          </w:p>
        </w:tc>
      </w:tr>
    </w:tbl>
    <w:p>
      <w:pPr>
        <w:pStyle w:val="TextBody"/>
        <w:bidi w:val="0"/>
        <w:spacing w:before="360" w:after="120"/>
        <w:jc w:val="both"/>
        <w:rPr>
          <w:rFonts w:ascii="Times New Roman" w:hAnsi="Times New Roman"/>
          <w:sz w:val="20"/>
        </w:rPr>
      </w:pPr>
      <w:r>
        <w:rPr>
          <w:rFonts w:ascii="Times New Roman" w:hAnsi="Times New Roman"/>
          <w:b/>
          <w:color w:val="000000"/>
          <w:sz w:val="20"/>
        </w:rPr>
        <w:t>ROLE OF THE BOARD IN RISK OVERSIGHT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Risk is inherent with every business, and we face a number of risks, including strategic, financial, business and operational, legal and compliance, cybersecurity and reputational. 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It is the responsibility of the committee chairs to report findings regarding material risk exposures to the Board as quickly as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possible. The Board Chairman coordinates between the Board and management with regard to the determination and implementation of responses to any problematic risk management issues. </w:t>
      </w:r>
    </w:p>
    <w:p>
      <w:pPr>
        <w:pStyle w:val="TextBody"/>
        <w:bidi w:val="0"/>
        <w:spacing w:before="360" w:after="120"/>
        <w:jc w:val="both"/>
        <w:rPr>
          <w:rFonts w:ascii="Times New Roman" w:hAnsi="Times New Roman"/>
          <w:sz w:val="20"/>
        </w:rPr>
      </w:pPr>
      <w:r>
        <w:rPr>
          <w:rFonts w:ascii="Times New Roman" w:hAnsi="Times New Roman"/>
          <w:b/>
          <w:color w:val="000000"/>
          <w:sz w:val="20"/>
        </w:rPr>
        <w:t>MEETINGS OF THE BOARD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Board of Directors met seven times during the last fiscal year. Each Board member attended 75% or more of the aggregate number of meetings of the Board and of the audit, compensation and nominating and corporate governance committees on which he or she served, held during the portion of the last fiscal year for which he or she was a director or committee member.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required under applicable Nasdaq listing standards, during the last fiscal year, the Company’s independent directors met four times in regularly scheduled executive sessions at which only independent directors were present. </w:t>
      </w:r>
    </w:p>
    <w:p>
      <w:pPr>
        <w:pStyle w:val="TextBody"/>
        <w:bidi w:val="0"/>
        <w:spacing w:before="360" w:after="120"/>
        <w:jc w:val="both"/>
        <w:rPr>
          <w:rFonts w:ascii="Times New Roman" w:hAnsi="Times New Roman"/>
          <w:sz w:val="20"/>
        </w:rPr>
      </w:pPr>
      <w:r>
        <w:rPr>
          <w:rFonts w:ascii="Times New Roman" w:hAnsi="Times New Roman"/>
          <w:b/>
          <w:color w:val="000000"/>
          <w:sz w:val="20"/>
        </w:rPr>
        <w:t>INFORMATION REGARDING COMMITTEES OF THE BOARD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has four committees: an Audit Committee, a Compensation Committee, a Nominating and Corporate Governance Committee and a Science and Technology Committee. The following table provides membership and the number of meetings for the year ended December 31, 2023 for each of the Board committees: </w:t>
      </w:r>
    </w:p>
    <w:tbl>
      <w:tblPr>
        <w:tblW w:w="10205" w:type="dxa"/>
        <w:jc w:val="left"/>
        <w:tblInd w:w="0" w:type="dxa"/>
        <w:tblLayout w:type="fixed"/>
        <w:tblCellMar>
          <w:top w:w="28" w:type="dxa"/>
          <w:left w:w="28" w:type="dxa"/>
          <w:bottom w:w="28" w:type="dxa"/>
          <w:right w:w="28" w:type="dxa"/>
        </w:tblCellMar>
      </w:tblPr>
      <w:tblGrid>
        <w:gridCol w:w="2093"/>
        <w:gridCol w:w="146"/>
        <w:gridCol w:w="146"/>
        <w:gridCol w:w="511"/>
        <w:gridCol w:w="741"/>
        <w:gridCol w:w="146"/>
        <w:gridCol w:w="211"/>
        <w:gridCol w:w="146"/>
        <w:gridCol w:w="466"/>
        <w:gridCol w:w="675"/>
        <w:gridCol w:w="146"/>
        <w:gridCol w:w="211"/>
        <w:gridCol w:w="146"/>
        <w:gridCol w:w="496"/>
        <w:gridCol w:w="717"/>
        <w:gridCol w:w="146"/>
        <w:gridCol w:w="211"/>
        <w:gridCol w:w="146"/>
        <w:gridCol w:w="938"/>
        <w:gridCol w:w="1361"/>
        <w:gridCol w:w="146"/>
        <w:gridCol w:w="260"/>
      </w:tblGrid>
      <w:tr>
        <w:trPr/>
        <w:tc>
          <w:tcPr>
            <w:tcW w:w="2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Science and Technology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209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Celebi</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5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14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21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21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2299"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260" w:type="dxa"/>
            <w:tcBorders/>
            <w:shd w:fill="CCEEFF" w:val="clear"/>
            <w:vAlign w:val="center"/>
          </w:tcPr>
          <w:p>
            <w:pPr>
              <w:pStyle w:val="TableContents"/>
              <w:bidi w:val="0"/>
              <w:spacing w:before="0" w:after="283"/>
              <w:jc w:val="center"/>
              <w:rPr/>
            </w:pPr>
            <w:r>
              <w:rPr/>
              <w:t> </w:t>
            </w:r>
          </w:p>
        </w:tc>
      </w:tr>
      <w:tr>
        <w:trPr/>
        <w:tc>
          <w:tcPr>
            <w:tcW w:w="20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Ringo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20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Bob Holmen</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5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141"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21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299"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20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Peyer, Ph.D.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99"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20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Samuel Broder, M.D. (1)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52"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141"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21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2299"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20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Ricks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right"/>
              <w:rPr/>
            </w:pPr>
            <w:r>
              <w:rPr/>
              <w:t> </w:t>
            </w:r>
          </w:p>
        </w:tc>
      </w:tr>
      <w:tr>
        <w:trPr/>
        <w:tc>
          <w:tcPr>
            <w:tcW w:w="20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Deneen Vojta, M.D.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52"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141"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21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299"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20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Jessie English, Ph.D.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99"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0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Kristian Humer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52"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141"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21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299"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right"/>
              <w:rPr/>
            </w:pPr>
            <w:r>
              <w:rPr/>
              <w:t> </w:t>
            </w:r>
          </w:p>
        </w:tc>
      </w:tr>
      <w:tr>
        <w:trPr/>
        <w:tc>
          <w:tcPr>
            <w:tcW w:w="20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meetings in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 Committee chair.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(1) On February 5, 2024 Dr. Broder resigned from the Board of Directors. Following Dr. Broder's resignation, on February 5, 2024 the Board of Directors appointed Mr. Ringo as Interim Chair of the Nominating and Corporate Governance Committee.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Below is a description of each committee of the Board of Directors. Each of the committees has authority to engage legal counsel or other experts or consultants, as it deems appropriate to carry out its responsibilities. The Board of Directors has determined that each current member of each committee meets the applicable Nasdaq rules and regulations regarding “independence” and each current member is free of any relationship that would impair his or her individual exercise of independent judgment with regard to the Company. </w:t>
      </w:r>
    </w:p>
    <w:p>
      <w:pPr>
        <w:pStyle w:val="TextBody"/>
        <w:bidi w:val="0"/>
        <w:spacing w:before="360" w:after="120"/>
        <w:jc w:val="both"/>
        <w:rPr>
          <w:rFonts w:ascii="Times New Roman" w:hAnsi="Times New Roman"/>
          <w:sz w:val="20"/>
        </w:rPr>
      </w:pPr>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Audit Committee of the Board of Directors was established by the Board in accordance with Section 3(a)(58)(A) of the Exchange Act to oversee the Company’s corporate accounting, disclosure controls and procedures and financial reporting processes and audits of its financial statements. The Audit Committee is currently composed of three directors: Thomas Ricks, Kristian Humer and Bob Holmen. Thomas Ricks serves as the Chair of the Audit Committee. The Audit Committee met six times during 2023. The Board has adopted a written Audit Committee charter that is available to stockholders on our website at www.senseibio.com.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of Directors reviews the Nasdaq listing standards definition of independence for Audit Committee members on an annual basis and has determined that all members of our Audit Committee are independent, as independence is currently defined in Rule 5605(c)(2)(A)(i) and (ii) of the Nasdaq listing standards. The Board of Directors has also determined that Mr. Ricks qualifies as an “audit committee financial expert,” as defined in applicable SEC rules. The Board made a qualitative assessment of Mr. Ricks’ level of knowledge and experience based on a number of factors, including his formal education and experience as a chief financial officer for public reporting companies.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principal duties and responsibilities of our Audit Committee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evaluating the performance, independence and qualifications of our independent auditors and determining whether to retain our existing independent auditors or engage new independent auditors; </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approving the engagement of our independent auditors to perform audit services and any permissible non-audit services;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related party transactions;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establishing procedures for the receipt, retention and treatment of complaints received by us regarding financial controls, accounting or auditing matters and other matter;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establishing procedures for the receipt, retention and treatment of complaints received by us regarding financial controls, accounting or auditing matters and other matters;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periodically reviewing our material risks relating to data privacy, technology and information security, including cybersecurity, threats and back-up of information systems and our processes for assessing, identifying, and managing such risks;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with our independent auditors and management significant issues that arise regarding accounting principles and financial statement presentation and matters concerning the scope, adequacy and effectiveness of our financial controls; and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evaluating on an annual basis the performance of the Audit Committee and the Audit Committee charter. </w:t>
            </w:r>
          </w:p>
        </w:tc>
      </w:tr>
    </w:tbl>
    <w:p>
      <w:pPr>
        <w:pStyle w:val="TextBody"/>
        <w:bidi w:val="0"/>
        <w:spacing w:before="360" w:after="120"/>
        <w:jc w:val="both"/>
        <w:rPr>
          <w:rFonts w:ascii="Times New Roman" w:hAnsi="Times New Roman"/>
          <w:sz w:val="20"/>
        </w:rPr>
      </w:pPr>
      <w:r>
        <w:rPr>
          <w:rFonts w:ascii="Times New Roman" w:hAnsi="Times New Roman"/>
          <w:b/>
          <w:color w:val="000000"/>
          <w:sz w:val="20"/>
        </w:rPr>
        <w:t>Report of the Audit Committee of the Board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Audit Committee has reviewed and discussed the audited financial statements for the year ended December 31, 2023 with management of the Company. The Audit Committee has discussed with the independent registered public accounting firm the matters required to be discussed by Auditing Standard No. 1301, </w:t>
      </w:r>
      <w:r>
        <w:rPr>
          <w:rFonts w:ascii="Times New Roman" w:hAnsi="Times New Roman"/>
          <w:i/>
          <w:color w:val="000000"/>
          <w:sz w:val="20"/>
        </w:rPr>
        <w:t xml:space="preserve">Communications with Audit Committees, </w:t>
      </w:r>
      <w:r>
        <w:rPr>
          <w:rFonts w:ascii="Times New Roman" w:hAnsi="Times New Roman"/>
          <w:color w:val="000000"/>
          <w:sz w:val="20"/>
        </w:rPr>
        <w:t>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2023.</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Thomas Ricks, Chair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Kristian Humer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Bob Holmen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r>
        <w:rPr>
          <w:rFonts w:ascii="Times New Roman" w:hAnsi="Times New Roman"/>
          <w:color w:val="000000"/>
          <w:sz w:val="20"/>
        </w:rPr>
        <w:t xml:space="preserve"> </w:t>
      </w:r>
    </w:p>
    <w:p>
      <w:pPr>
        <w:pStyle w:val="TextBody"/>
        <w:bidi w:val="0"/>
        <w:spacing w:before="360" w:after="120"/>
        <w:jc w:val="both"/>
        <w:rPr>
          <w:rFonts w:ascii="Times New Roman" w:hAnsi="Times New Roman"/>
          <w:sz w:val="20"/>
        </w:rPr>
      </w:pPr>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Compensation Committee is composed of five directors: Messrs. Ringo, Ricks and Holmen, and Drs. Peyer and Vojta. Mr. Holmen serves as the Chair of the Compensation Committee. Each of the committee members are non-employee directors, as defined in Rule 16b-3 promulgated under the Exchange Act. Our Board of Directors has determined that each of the committee members are “independent” as defined under the applicable Nasdaq listing standards, including the standards specific to members of a compensation committee. The Compensation Committee met four times during 2023. The Board has adopted a written Compensation Committee charter that is available to stockholders on our website at www.senseibio.com.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principal duties and responsibilities of our Compensation Committee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making recommendations to the full Board of Directors regarding the type and amount of compensation to be paid or awarded to our non-employee board members; </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setting the compensation and other terms of employment of our Chief Executive Officer and our other executive officers;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modifying and approving (or if it deems appropriate, making recommendations to the full Board of Directors regarding) our overall compensation strategy and policies;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approving (or if it deems it appropriate, making recommendations to the full Board of Directors regarding) the equity incentive plans, compensation plans and similar programs advisable for us, as well as modifying, amending or terminating existing plans and programs;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establishing, approving, modifying and overseeing our compensation clawback or similar policies and any required recoupment and disclosure; and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evaluating on an annual basis the performance of the Compensation Committee and the Compensation Committee charter. </w:t>
            </w:r>
          </w:p>
        </w:tc>
      </w:tr>
    </w:tbl>
    <w:p>
      <w:pPr>
        <w:pStyle w:val="TextBody"/>
        <w:bidi w:val="0"/>
        <w:spacing w:before="240" w:after="120"/>
        <w:jc w:val="both"/>
        <w:rPr>
          <w:rFonts w:ascii="Times New Roman" w:hAnsi="Times New Roman"/>
          <w:sz w:val="20"/>
        </w:rPr>
      </w:pPr>
      <w:r>
        <w:rPr>
          <w:rFonts w:ascii="Times New Roman" w:hAnsi="Times New Roman"/>
          <w:i/>
          <w:color w:val="000000"/>
          <w:sz w:val="20"/>
        </w:rPr>
        <w:t>Compensation Committee Processes and Procedures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Typically, the Compensation Committee meets an average of once every quarter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Compensation Committee typically reviews and discusses management’s proposed compensation with the Chief Executive Officer for all executives other than the Chief Executive Officer.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independent legal counsel or other adviser to the Compensation Committee, other than in-house legal counsel and certain other types of advisers, only after taking into consideration six factors, prescribed by the SEC and Nasdaq, that bear upon the adviser’s independence.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During the past fiscal year, after taking into consideration the six factors prescribed by the SEC and Nasdaq described above, the Compensation Committee engaged Alpine Rewards as compensation consultants. Our Compensation Committee identified Alpine Rewards based on its general reputation in the industry. The Compensation Committee requested that Alpine Awards: </w:t>
      </w:r>
    </w:p>
    <w:tbl>
      <w:tblPr>
        <w:tblW w:w="10205" w:type="dxa"/>
        <w:jc w:val="left"/>
        <w:tblInd w:w="0" w:type="dxa"/>
        <w:tblLayout w:type="fixed"/>
        <w:tblCellMar>
          <w:top w:w="28" w:type="dxa"/>
          <w:left w:w="28" w:type="dxa"/>
          <w:bottom w:w="28" w:type="dxa"/>
          <w:right w:w="28" w:type="dxa"/>
        </w:tblCellMar>
      </w:tblPr>
      <w:tblGrid>
        <w:gridCol w:w="124"/>
        <w:gridCol w:w="256"/>
        <w:gridCol w:w="109"/>
        <w:gridCol w:w="9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assist in providing competitive compensation data for all of the Company’s executive positions;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assess the degree to which the Company’s current compensation strategy and practices aligns with market practices for all of the Company’s executive positions;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 all elements of pay including base salary, short-term incentives, total cash compensation, long-term incentives, pay mix, ownership levels and equity retention for all of the Company’s executive positions; and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propose go-forward changes relating to executive cash and equity compensation.</w:t>
            </w:r>
          </w:p>
        </w:tc>
      </w:tr>
    </w:tbl>
    <w:p>
      <w:pPr>
        <w:pStyle w:val="TextBody"/>
        <w:bidi w:val="0"/>
        <w:spacing w:before="360" w:after="120"/>
        <w:jc w:val="left"/>
        <w:rPr>
          <w:rFonts w:ascii="Times New Roman" w:hAnsi="Times New Roman"/>
          <w:sz w:val="20"/>
        </w:rPr>
      </w:pPr>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Nominating and Corporate Governance Committee is composed of four directors: Mr. Ringo and Drs. English, Peyer and Vojta. Mr. Ringo was appointed as Interim Chair of the Nominating and Corporate Governance Committee in connection with Dr. Broder's resignation from the Board of Directors on February 5, 2024. All members of the Nominating and Corporate Governance Committee are independent (as independence is currently defined in Rule 5605(a)(2) of the Nasdaq listing standards). The Nominating and Corporate Governance Committee met once during 2023. The Board has adopted a written Nominating and Corporate Governance Committee charter that is available to stockholders on the Company’s website at www.senseibio.com.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Nominating and Corporate Governance Committee’s responsibilities include: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identifying, reviewing, evaluating and recommending candidates to serve on our Board of Directors;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determining the minimum qualifications for service on our Board of Directors;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evaluating director performance on the Board of Directors and applicable committees of the board and determining whether continued service on our board is appropriate;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evaluating nominations by stockholders of candidates for election to our Board of Directors;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considering and assessing the independence of members of our Board of Directors;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evaluating our set of corporate governance policies and principles and recommending to our Board of Directors any changes to such policies and principles;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making recommendations to the Board of Directors with respect to management succession planning;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considering questions of possible conflicts of interest of directors as such questions arise; and </w:t>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reviewing and evaluating on an annual basis the performance of the Nominating and Corporate Governance Committee and the Nominating and Corporate Governance Committee charter.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Diversity is one of a number of factors, however, that the committee takes into account in identifying nominees, and the Nominating and Corporate Governance Committee believes that it is essential that the board members represent diverse viewpoints. To accomplish the Board’s diversity objectives, the Nominating and Governance Committee may retain an executive search firm to help identify potential directors that meet these objectives.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Secretary, Sensei Biotherapeutics, Inc., 1405 Research Blvd, Suite 125, Rockville, Maryland 20850, at least 90 days, but not more than 120 days, prior to the anniversary date of the mailing of our proxy statement for the preceding year’s annual meeting of stockholders. Submissions must include: (1) the name and address of the Company stockholder on whose behalf the submission is made; (2) the number of Company shares that are owned beneficially by such stockholder as of the date of the submission; (3) the full name, age, business address and residence address of the proposed candidate; (4) a description of the proposed candidate’s principal occupation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or employment; (5) the class and number of shares of each class of capital stock of the corporation which are owned of record and beneficially by such proposed candidate; and (6) such additional information as is required by our bylaws. Each submission must be accompanied by the written consent of the proposed candidate to be named as a nominee and to serve as a director if elected. </w:t>
      </w:r>
    </w:p>
    <w:p>
      <w:pPr>
        <w:pStyle w:val="TextBody"/>
        <w:bidi w:val="0"/>
        <w:spacing w:before="360" w:after="120"/>
        <w:jc w:val="left"/>
        <w:rPr>
          <w:rFonts w:ascii="Times New Roman" w:hAnsi="Times New Roman"/>
          <w:sz w:val="20"/>
        </w:rPr>
      </w:pPr>
      <w:r>
        <w:rPr>
          <w:rFonts w:ascii="Times New Roman" w:hAnsi="Times New Roman"/>
          <w:b/>
          <w:color w:val="000000"/>
          <w:sz w:val="20"/>
        </w:rPr>
        <w:t>Science and Technology Committee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Science and Technology Committee is composed of three directors: Drs. English, Peyer and Vojta. Dr. English serves as the Chair of the Science and Technology Committee. The Science and Technology Committee met four times during 2023. The Board has adopted a written Science and Technology Committee charter that is available to stockholders on the Company’s website at www.senseibio.com.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Science and Technology Committee’s responsibilities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advising the Board of Directors regarding endorsement of current and planned research and development programs, validating timelines, budget and key milestones;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monitoring and advising the Board of Directors about the progress on the approved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advising the Board of Directors regarding the scientific merit of pipeline programs and technologies for licensing and acquisition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providing advice regarding emerging science, therapeutic trends and foreseeable opportunities;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advice to our scientific team on aspects of our research and development, preclinical and clinical programs;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evaluating on an annual basis the performance of the Science and Technology Committee and the Science and Technology Committee charter.</w:t>
      </w:r>
    </w:p>
    <w:p>
      <w:pPr>
        <w:pStyle w:val="TextBody"/>
        <w:bidi w:val="0"/>
        <w:spacing w:before="360" w:after="120"/>
        <w:jc w:val="both"/>
        <w:rPr>
          <w:rFonts w:ascii="Times New Roman" w:hAnsi="Times New Roman"/>
          <w:sz w:val="20"/>
        </w:rPr>
      </w:pPr>
      <w:r>
        <w:rPr>
          <w:rFonts w:ascii="Times New Roman" w:hAnsi="Times New Roman"/>
          <w:b/>
          <w:color w:val="000000"/>
          <w:sz w:val="20"/>
        </w:rPr>
        <w:t>STOCKHOLDER COMMUNICATIONS WITH THE BOARD OF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Board of Directors has adopted a formal process by which stockholders may communicate with the Board of Directors or any of its directors. Stockholders who wish to communicate with the Board of Directors may do so by sending written communications addressed to the Board of Directors or the director in care of Sensei Biotherapeutics, Inc., 1405 Research Blvd, Suite 125, Rockville, Maryland 20850, Attn: Secretary. Each communication must set forth the name and address of the stockholder on whose behalf the communication is sent and the number and class of shares of our stock that are owned beneficially by the stockholder as of the date of the communication.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These communications will be reviewed by our Secretary, who will determine whether they should be presented to the Board of Directors. The purpose of this screening is to allow the Board of Directors to avoid having to consider communications that contain advertisements or solicitations or are unduly hostile, threatening or similarly inappropriate. All communications directed to the audit committee in accordance with our Open Door Policy for Reporting Complaints Regarding Accounting and Auditing Matters that relate to questionable accounting or auditing matters involving the Company will be promptly and directly forwarded to the Audit Committee.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Any interested person may communicate directly with the non-management directors. Persons interested in communicating directly with the non-management directors regarding their concerns or issues may do so by addressing correspondence to a particular director, or to the non-management directors generally, in care of Sensei Biotherapeutics, Inc., 1405 Research Blvd, Suite 125, Rockville, Maryland 20850. If no particular director is named, letters will be forwarded, depending upon the subject matter, to the chair of the Audit, Compensation, Nominating and Corporate Governance or Science and Technology Committee.</w:t>
      </w:r>
    </w:p>
    <w:p>
      <w:pPr>
        <w:pStyle w:val="TextBody"/>
        <w:bidi w:val="0"/>
        <w:spacing w:before="360" w:after="120"/>
        <w:jc w:val="left"/>
        <w:rPr>
          <w:rFonts w:ascii="Times New Roman" w:hAnsi="Times New Roman"/>
          <w:sz w:val="20"/>
        </w:rPr>
      </w:pPr>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adopted a Code of Business Conduct and Ethics (the “Code of Conduct”) applicable to all of our employees, executive officers and directors. The Code of Conduct is available on our website at www.senseibio.com. The Nominating and Corporate Governance Committee is responsible for overseeing the Code of Conduct and must approve any waivers of the Code of Conduct for executive officers and directors. If we make any substantive amendments to the Code of Conduct or grants any waiver from a provision of the Code of Conduct to any executive officer or director, we will promptly disclose the nature of the amendment or waiver on our website. </w:t>
      </w:r>
    </w:p>
    <w:p>
      <w:pPr>
        <w:pStyle w:val="TextBody"/>
        <w:bidi w:val="0"/>
        <w:spacing w:before="360" w:after="120"/>
        <w:jc w:val="left"/>
        <w:rPr>
          <w:rFonts w:ascii="Times New Roman" w:hAnsi="Times New Roman"/>
          <w:sz w:val="20"/>
        </w:rPr>
      </w:pPr>
      <w:r>
        <w:rPr>
          <w:rFonts w:ascii="Times New Roman" w:hAnsi="Times New Roman"/>
          <w:b/>
          <w:color w:val="000000"/>
          <w:sz w:val="20"/>
        </w:rPr>
        <w:t>CORPORATE GOVERNANCE GUIDELINES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connection with our initial public offering, the Board documented the governance practices followed by the Company by adopting Corporate Governance Guidelines to assure that the Board will have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and compensation. The Nominating and Corporate Governance Committee regularly reviews the Corporate Governance Guidelines, seeks advice and recommendations from outside advisors, and considers corporate governance trends and best practices in our industry.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roposal2"/>
      <w:bookmarkEnd w:id="4"/>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spacing w:before="360" w:after="120"/>
        <w:jc w:val="center"/>
        <w:rPr>
          <w:rFonts w:ascii="Times New Roman" w:hAnsi="Times New Roman"/>
          <w:sz w:val="20"/>
        </w:rPr>
      </w:pPr>
      <w:r>
        <w:rPr>
          <w:rFonts w:ascii="Times New Roman" w:hAnsi="Times New Roman"/>
          <w:b/>
          <w:color w:val="000000"/>
          <w:sz w:val="20"/>
        </w:rPr>
        <w:t>RATIFICATION OF SELECTION OF INDEPENDENT REGISTERED PUBLIC ACCOUNTING FIRM</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Audit Committee of the Board has selected Deloitte &amp; Touche LLP as the Company’s independent registered public accounting firm for the year ending December 31, 2024 and has further directed that management submit the selection of its independent registered public accounting firm for ratification by the stockholders at the Annual Meeting. Deloitte &amp; Touche LLP has audited the Company’s financial statements since 2016. Representatives of Deloitte &amp; Touche LLP are expected to be present at the Annual Meeting. They will have an opportunity to make a statement if they so desire and will be available to respond to appropriate questions.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Neither the Company’s Bylaws nor other governing documents or law require stockholder ratification of the selection of Deloitte &amp; Touche LLP as the Company’s independent registered public accounting firm. However, the Audit Committee of the Board is submitting the selection of Deloitte &amp; Touche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virtually or represented by proxy and entitled to vote on the matter at the Annual Meeting will be required to ratify the selection of Deloitte &amp; Touche LLP. </w:t>
      </w:r>
    </w:p>
    <w:p>
      <w:pPr>
        <w:pStyle w:val="TextBody"/>
        <w:bidi w:val="0"/>
        <w:spacing w:before="360" w:after="120"/>
        <w:jc w:val="both"/>
        <w:rPr>
          <w:rFonts w:ascii="Times New Roman" w:hAnsi="Times New Roman"/>
          <w:sz w:val="20"/>
        </w:rPr>
      </w:pPr>
      <w:r>
        <w:rPr>
          <w:rFonts w:ascii="Times New Roman" w:hAnsi="Times New Roman"/>
          <w:b/>
          <w:color w:val="000000"/>
          <w:sz w:val="20"/>
        </w:rPr>
        <w:t>FEES FOR SERVICES PROVIDED BY THE INDEPENDENT REGISTERED PUBLIC ACCOUNTING FIRM</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represents aggregate fees for professional services rendered to the Company for the years ended December 31, 2023 and 2022 by Deloitte &amp; Touche LLP, the Company’s independent registered public accounting firm.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other fees for the years ended December 31, 2023 and 2022. </w:t>
      </w:r>
    </w:p>
    <w:tbl>
      <w:tblPr>
        <w:tblW w:w="3990" w:type="dxa"/>
        <w:jc w:val="left"/>
        <w:tblInd w:w="0" w:type="dxa"/>
        <w:tblLayout w:type="fixed"/>
        <w:tblCellMar>
          <w:top w:w="28" w:type="dxa"/>
          <w:left w:w="28" w:type="dxa"/>
          <w:bottom w:w="28" w:type="dxa"/>
          <w:right w:w="28" w:type="dxa"/>
        </w:tblCellMar>
      </w:tblPr>
      <w:tblGrid>
        <w:gridCol w:w="1171"/>
        <w:gridCol w:w="146"/>
        <w:gridCol w:w="233"/>
        <w:gridCol w:w="862"/>
        <w:gridCol w:w="146"/>
        <w:gridCol w:w="146"/>
        <w:gridCol w:w="233"/>
        <w:gridCol w:w="862"/>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br/>
              <w:t>ended</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br/>
              <w:t>ended</w:t>
              <w:b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fees(1)</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611,867</w:t>
            </w:r>
          </w:p>
        </w:tc>
        <w:tc>
          <w:tcPr>
            <w:tcW w:w="19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fees(2)</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fees consists of fees billed or incurred for professional services rendered in connection with the audit of our consolidated financial statements and review of the interim condensed consolidated financial statements included in our quarterly reports.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Tax fees includes services related to the preparation or review of the U.S. federal, state and local tax returns, and other advisory and professional services.</w:t>
      </w:r>
    </w:p>
    <w:p>
      <w:pPr>
        <w:pStyle w:val="TextBody"/>
        <w:bidi w:val="0"/>
        <w:spacing w:before="360" w:after="120"/>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auditors, Deloitte &amp; Touche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All of the services of Deloitte &amp; Touche LLP for the years ended December 31, 2023 and 2022 described above were pre-approved in accordance with the Audit Committee Pre-Approval Policy. </w:t>
      </w:r>
    </w:p>
    <w:p>
      <w:pPr>
        <w:pStyle w:val="TextBody"/>
        <w:bidi w:val="0"/>
        <w:spacing w:before="120" w:after="120"/>
        <w:jc w:val="center"/>
        <w:rPr>
          <w:rFonts w:ascii="Times New Roman" w:hAnsi="Times New Roman"/>
          <w:sz w:val="20"/>
        </w:rPr>
      </w:pPr>
      <w:r>
        <w:rPr>
          <w:rFonts w:ascii="Times New Roman" w:hAnsi="Times New Roman"/>
          <w:b/>
          <w:color w:val="000000"/>
          <w:sz w:val="20"/>
        </w:rPr>
        <w:t>THE BOARD OF DIRECTORS RECOMMENDS</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A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5" w:name="exec_officers"/>
      <w:bookmarkEnd w:id="5"/>
      <w:r>
        <w:rPr>
          <w:rFonts w:ascii="Times New Roman" w:hAnsi="Times New Roman"/>
          <w:b/>
          <w:color w:val="000000"/>
          <w:sz w:val="20"/>
        </w:rPr>
        <w:t>EXECUTIVE OFFICERS</w:t>
      </w:r>
    </w:p>
    <w:p>
      <w:pPr>
        <w:pStyle w:val="TextBody"/>
        <w:bidi w:val="0"/>
        <w:spacing w:before="120" w:after="120"/>
        <w:jc w:val="both"/>
        <w:rPr>
          <w:rFonts w:ascii="Times New Roman" w:hAnsi="Times New Roman"/>
          <w:sz w:val="20"/>
        </w:rPr>
      </w:pPr>
      <w:r>
        <w:rPr>
          <w:rFonts w:ascii="Times New Roman" w:hAnsi="Times New Roman"/>
          <w:color w:val="000000"/>
          <w:sz w:val="21"/>
        </w:rPr>
        <w:t>The following table sets forth information concerning our executive officers as of the date hereof:</w:t>
      </w:r>
      <w:r>
        <w:rPr>
          <w:rFonts w:ascii="Times New Roman" w:hAnsi="Times New Roman"/>
          <w:color w:val="000000"/>
          <w:sz w:val="20"/>
        </w:rPr>
        <w:t xml:space="preserve"> </w:t>
      </w:r>
    </w:p>
    <w:tbl>
      <w:tblPr>
        <w:tblW w:w="6493" w:type="dxa"/>
        <w:jc w:val="left"/>
        <w:tblInd w:w="0" w:type="dxa"/>
        <w:tblLayout w:type="fixed"/>
        <w:tblCellMar>
          <w:top w:w="28" w:type="dxa"/>
          <w:left w:w="28" w:type="dxa"/>
          <w:bottom w:w="28" w:type="dxa"/>
          <w:right w:w="28" w:type="dxa"/>
        </w:tblCellMar>
      </w:tblPr>
      <w:tblGrid>
        <w:gridCol w:w="2386"/>
        <w:gridCol w:w="146"/>
        <w:gridCol w:w="396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23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Celebi</w:t>
            </w:r>
          </w:p>
        </w:tc>
        <w:tc>
          <w:tcPr>
            <w:tcW w:w="146" w:type="dxa"/>
            <w:tcBorders/>
            <w:shd w:fill="FFFFFF" w:val="clear"/>
            <w:vAlign w:val="center"/>
          </w:tcPr>
          <w:p>
            <w:pPr>
              <w:pStyle w:val="TableContents"/>
              <w:bidi w:val="0"/>
              <w:spacing w:before="0" w:after="283"/>
              <w:jc w:val="center"/>
              <w:rPr/>
            </w:pPr>
            <w:r>
              <w:rPr/>
              <w:t> </w:t>
            </w:r>
          </w:p>
        </w:tc>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van der Horst, Ph.D.</w:t>
            </w:r>
          </w:p>
        </w:tc>
        <w:tc>
          <w:tcPr>
            <w:tcW w:w="146" w:type="dxa"/>
            <w:tcBorders/>
            <w:shd w:fill="CFF0FC" w:val="clear"/>
            <w:vAlign w:val="center"/>
          </w:tcPr>
          <w:p>
            <w:pPr>
              <w:pStyle w:val="TableContents"/>
              <w:bidi w:val="0"/>
              <w:spacing w:before="0" w:after="283"/>
              <w:jc w:val="center"/>
              <w:rPr/>
            </w:pPr>
            <w:r>
              <w:rPr/>
              <w:t> </w:t>
            </w:r>
          </w:p>
        </w:tc>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Stephanie Krebs</w:t>
            </w:r>
          </w:p>
        </w:tc>
        <w:tc>
          <w:tcPr>
            <w:tcW w:w="146" w:type="dxa"/>
            <w:tcBorders/>
            <w:shd w:fill="FFFFFF" w:val="clear"/>
            <w:vAlign w:val="center"/>
          </w:tcPr>
          <w:p>
            <w:pPr>
              <w:pStyle w:val="TableContents"/>
              <w:bidi w:val="0"/>
              <w:spacing w:before="0" w:after="283"/>
              <w:jc w:val="center"/>
              <w:rPr/>
            </w:pPr>
            <w:r>
              <w:rPr/>
              <w:t> </w:t>
            </w:r>
          </w:p>
        </w:tc>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w:t>
            </w:r>
          </w:p>
        </w:tc>
      </w:tr>
    </w:tbl>
    <w:p>
      <w:pPr>
        <w:pStyle w:val="TextBody"/>
        <w:bidi w:val="0"/>
        <w:spacing w:before="360" w:after="120"/>
        <w:jc w:val="left"/>
        <w:rPr>
          <w:rFonts w:ascii="Times New Roman" w:hAnsi="Times New Roman"/>
          <w:sz w:val="20"/>
        </w:rPr>
      </w:pPr>
      <w:r>
        <w:rPr>
          <w:rFonts w:ascii="Times New Roman" w:hAnsi="Times New Roman"/>
          <w:b/>
          <w:color w:val="000000"/>
          <w:sz w:val="20"/>
        </w:rPr>
        <w:t>EXECUTIVE OFFICERS WHO ARE NOT DIRECTORS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sets forth certain information as of the date hereof with respect to our executive officers who are not directors: </w:t>
      </w:r>
    </w:p>
    <w:p>
      <w:pPr>
        <w:pStyle w:val="TextBody"/>
        <w:bidi w:val="0"/>
        <w:spacing w:before="360" w:after="120"/>
        <w:jc w:val="both"/>
        <w:rPr>
          <w:rFonts w:ascii="Times New Roman" w:hAnsi="Times New Roman"/>
          <w:sz w:val="20"/>
        </w:rPr>
      </w:pPr>
      <w:r>
        <w:rPr>
          <w:rFonts w:ascii="Times New Roman" w:hAnsi="Times New Roman"/>
          <w:b/>
          <w:i/>
          <w:color w:val="000000"/>
          <w:sz w:val="20"/>
        </w:rPr>
        <w:t>Edward van der Horst, Ph.D.</w:t>
      </w:r>
      <w:r>
        <w:rPr>
          <w:rFonts w:ascii="Times New Roman" w:hAnsi="Times New Roman"/>
          <w:i/>
          <w:color w:val="000000"/>
          <w:sz w:val="20"/>
        </w:rPr>
        <w:t>, age 51</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Edward van der Horst, Ph.D. has served as our Chief Scientific Officer since December 2022. Dr. van der Horst previously served as our Senior Vice President of Biologics Discovery and Early Development from October 2021 to December 2022 and as our Vice President of Preclinical Development from September 2019 to October 2021. Prior to joining us, Dr. van der Horst served as Vice President, Discovery Biology &amp; Preclinical Drug Development at Zenith Epigenetics Ltd., a clinical stage oncology company, from 2017 to August 2019. Prior to Zenith Epigenetics, from 2010 to 2017, he served in various roles at Igenica Biotherapeutics, Inc., an immunotherapy company, including as Senior Director of Preclinical Development. Dr. van der Horst attended the University of Dusseldorf, holds a M.Sc. in Chemistry from Ludwig-Maximilians-Universitat Munchen and a Ph.D. in Biochemistry and Molecular Biology from Max-Plank-Institute for Biochemistry.</w:t>
      </w:r>
    </w:p>
    <w:p>
      <w:pPr>
        <w:pStyle w:val="TextBody"/>
        <w:bidi w:val="0"/>
        <w:spacing w:before="360" w:after="120"/>
        <w:jc w:val="both"/>
        <w:rPr>
          <w:rFonts w:ascii="Times New Roman" w:hAnsi="Times New Roman"/>
          <w:sz w:val="20"/>
        </w:rPr>
      </w:pPr>
      <w:r>
        <w:rPr>
          <w:rFonts w:ascii="Times New Roman" w:hAnsi="Times New Roman"/>
          <w:b/>
          <w:i/>
          <w:color w:val="000000"/>
          <w:sz w:val="20"/>
        </w:rPr>
        <w:t>Stephanie Krebs</w:t>
      </w:r>
      <w:r>
        <w:rPr>
          <w:rFonts w:ascii="Times New Roman" w:hAnsi="Times New Roman"/>
          <w:i/>
          <w:color w:val="000000"/>
          <w:sz w:val="20"/>
        </w:rPr>
        <w:t>, age 46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Stephanie Krebs has served as our Chief Business Officer since November 2023. Prior to joining us, Ms. Krebs served as Chief Business Officer at SNIPR Biome APS from March 2022 to October 2023, Vice President and Head of Business Development at Valo Health, Inc. from June 2021 to February 2022, Head of Severe Genetic Disease Business Development at Bluebird Bio, Inc. from September 2019 to May 2021, Vice President of Business Development at HotSpot Therapeutics, Inc. from August 2018 to August 2019, and as Vice President of Corporate Development at Swedish Orphan Biovitrum (Sobi) AB from October 2016 to July 2018. Ms. Krebs also worked at Biogen Inc. in various roles of increasing responsibility from July 2006 to October 2016. She holds a Bachelor of Science in Microbiology and Immunology from the University of Rochester, a Master of Science in Biotechnology from Johns Hopkins University and an MBA from the William E. Simon Graduate School of Business Administration, University of Rochester.</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6" w:name="sec_ben_own"/>
      <w:bookmarkEnd w:id="6"/>
      <w:r>
        <w:rPr>
          <w:rFonts w:ascii="Times New Roman" w:hAnsi="Times New Roman"/>
          <w:b/>
          <w:color w:val="000000"/>
          <w:sz w:val="20"/>
        </w:rPr>
        <w:t>SECURITY OWNERSHIP OF CERTAIN BENEFICIAL OWNERS AND MANAGEMENT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beneficial ownership of our common stock as of April 15, 2024 for: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12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 xml:space="preserve">each person, or group of affiliated persons, who is known by us to beneficially own more than 5% of our common stock;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 xml:space="preserve">each of our named executive officers;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 xml:space="preserve">each of our directors; and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 xml:space="preserve">all of our executive officers and directors as a group.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restricted stock units and the exercise of stock options that are either immediately exercisable or exercisable within 60 days of April 15, 2024.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Except as otherwise noted below, the address for persons listed in the table is c/o Sensei Biotherapeutics, Inc., 1405 Research Blvd, Suite 125, Rockville, Maryland 20850.</w:t>
      </w:r>
    </w:p>
    <w:tbl>
      <w:tblPr>
        <w:tblW w:w="10205" w:type="dxa"/>
        <w:jc w:val="left"/>
        <w:tblInd w:w="0" w:type="dxa"/>
        <w:tblLayout w:type="fixed"/>
        <w:tblCellMar>
          <w:top w:w="28" w:type="dxa"/>
          <w:left w:w="28" w:type="dxa"/>
          <w:bottom w:w="28" w:type="dxa"/>
          <w:right w:w="28" w:type="dxa"/>
        </w:tblCellMar>
      </w:tblPr>
      <w:tblGrid>
        <w:gridCol w:w="4367"/>
        <w:gridCol w:w="146"/>
        <w:gridCol w:w="325"/>
        <w:gridCol w:w="2076"/>
        <w:gridCol w:w="146"/>
        <w:gridCol w:w="146"/>
        <w:gridCol w:w="602"/>
        <w:gridCol w:w="1933"/>
        <w:gridCol w:w="146"/>
        <w:gridCol w:w="318"/>
      </w:tblGrid>
      <w:tr>
        <w:trPr/>
        <w:tc>
          <w:tcPr>
            <w:tcW w:w="4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Shares Beneficially Owned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Greater than 5% Stockholders:</w:t>
            </w:r>
          </w:p>
        </w:tc>
        <w:tc>
          <w:tcPr>
            <w:tcW w:w="146" w:type="dxa"/>
            <w:tcBorders/>
            <w:shd w:fill="CFF0FC" w:val="clear"/>
            <w:vAlign w:val="center"/>
          </w:tcPr>
          <w:p>
            <w:pPr>
              <w:pStyle w:val="TableContents"/>
              <w:bidi w:val="0"/>
              <w:spacing w:before="0" w:after="283"/>
              <w:jc w:val="left"/>
              <w:rPr/>
            </w:pPr>
            <w:r>
              <w:rPr/>
              <w:t> </w:t>
            </w:r>
          </w:p>
        </w:tc>
        <w:tc>
          <w:tcPr>
            <w:tcW w:w="24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Cambrian BioPharma Inc. (2)</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H&amp;S Investments I LP (3)</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Named Executive Officers and Directors:</w:t>
            </w:r>
          </w:p>
        </w:tc>
        <w:tc>
          <w:tcPr>
            <w:tcW w:w="146" w:type="dxa"/>
            <w:tcBorders/>
            <w:shd w:fill="FFFFFF" w:val="clear"/>
            <w:vAlign w:val="center"/>
          </w:tcPr>
          <w:p>
            <w:pPr>
              <w:pStyle w:val="TableContents"/>
              <w:bidi w:val="0"/>
              <w:spacing w:before="0" w:after="283"/>
              <w:jc w:val="left"/>
              <w:rPr/>
            </w:pPr>
            <w:r>
              <w:rPr/>
              <w:t> </w:t>
            </w:r>
          </w:p>
        </w:tc>
        <w:tc>
          <w:tcPr>
            <w:tcW w:w="24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Celebi (4)</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Colgan (5)</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van der Horst, Ph.D. (6)</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Ringo (7)</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Ricks (8)</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Peyer, Ph.D. (2)</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Holmen (9)</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Kristian Humer (10)</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Jessie English, Ph.D. (11)</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8" w:type="dxa"/>
            <w:tcBorders/>
            <w:shd w:fill="CFF0FC" w:val="clear"/>
            <w:vAlign w:val="center"/>
          </w:tcPr>
          <w:p>
            <w:pPr>
              <w:pStyle w:val="TableContents"/>
              <w:bidi w:val="0"/>
              <w:spacing w:before="0" w:after="283"/>
              <w:jc w:val="left"/>
              <w:rPr/>
            </w:pPr>
            <w:r>
              <w:rPr/>
              <w:t> </w:t>
            </w:r>
          </w:p>
        </w:tc>
      </w:tr>
      <w:tr>
        <w:trPr/>
        <w:tc>
          <w:tcPr>
            <w:tcW w:w="4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Deneen Vojta, M.D. (12)</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20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r>
      <w:tr>
        <w:trPr/>
        <w:tc>
          <w:tcPr>
            <w:tcW w:w="4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directors and executive officers as a group (10 persons)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2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*Less than one percent.</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table is based upon information supplied by officers, directors and principal stockholders and filings with the SEC, if any, including Schedules 13D and 13G and Section 16 filings.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25,080,958 shares outstanding on April 15, 2024, adjusted as required by rules promulgated by the SEC.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in part from a Schedule 13G/A filed on August 4, 2023 by Cambrian BioPharma Inc. (“Cambrian”) and James Peyer. Consists of 3,648,654 shares of common stock and 47,407 shares issuable pursuant to stock options exercisable within 60 days following April 15, 2024. Cambrian is a Delaware corporation and Dr. Peyer serves as Cambrian’s Chief Executive Officer. In such capacity Dr. Peyer may direct the voting and disposition of the shares held by Cambrian, subject in certain instances to the approval of Cambrian’s board of directors. Cambrian’s business address is 228 Park Avenue S. #66643, New York, New York 10003.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13G filed on February 14, 2022 by entities and individuals associated with H&amp;S Investments I LP (“H&amp;S”). Consists of 4,426,000 shares of common stock and warrants exercisable for 15,624 shares of common stock held by H&amp;S Investments I, L.P. H&amp;S Ventures, LLC, its general partner, and Michael Schulman, manager of H&amp;S Ventures, may be deemed to have voting and dispositive power with respect to the shares held. The principal business address of H&amp;S Investments I, L.P. is 2101 E Coast Highway 3rd Floor Corona Del Mar, CA 92625.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Consists of 62,495 shares of common stock and 1,218,175 shares issuable pursuant to stock options exercisable within 60 days following April 15, 2024.</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Ms. Colgan resigned as our Chief Financial Officer effective as of April 10, 2024. Consists of 40,987 shares of common stock and 249,316 shares issuable pursuant to stock options that were vested and exercisable as of April 10,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35,445 shares of common stock and 270,716 shares issuable pursuant to stock options exercisable within 60 days following April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15,955 shares of common stock and 35,162 shares issuable pursuant to stock options exercisable within 60 days following April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334,931 shares of our common stock and a warrant to purchase 1,457 shares of our common stock held by Ricks Family Trust, 4,466 shares of common stock and 47,407 shares issuable pursuant to stock options exercisable within 60 days following April 15, 2024 held by Thomas Ricks. Thomas Ricks is a trustee of the Ricks Family Trust and accordingly may be deemed to have voting and dispositive power with respect to the shares held by Ricks Family Trust.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21,132 shares of common stock and 69,782 shares issuable pursuant to stock options exercisable within 60 days following April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4,466 shares of common stock and 43,628 shares issuable pursuant to stock options exercisable within 60 days following April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4,466 shares of common stock and 44,554 shares issuable pursuant to stock options exercisable within 60 days following April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Consists of 4,466 shares of common stock and 27,887 shares issuable pursuant to stock options exercisable within 60 days following April 15, 2024.</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delinq16a"/>
      <w:bookmarkEnd w:id="7"/>
      <w:r>
        <w:rPr>
          <w:rFonts w:ascii="Times New Roman" w:hAnsi="Times New Roman"/>
          <w:b/>
          <w:color w:val="000000"/>
          <w:sz w:val="20"/>
        </w:rPr>
        <w:t>DELINQUENT SECTION 16(A) REPORTS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our knowledge, based solely on a review of our records and representations made by our directors and officers and certain of our more than 10% stockholders regarding their filing obligations, we believe that during the year ended December 31, 2023, our directors, executive officers and more than 10% stockholders complied with all applicable Section 16(a) filing requirements, other than Form 4s that were filed late on September 11, 2023 for each of Erin Colgan, John Celebi, Edward van der Horst and Patrick Gallagher related to a transaction on February 15, 2023 for each of Erin Colgan, John Celebi, Edward van der Horst and Patrick Gallagher to report shares withheld to satisfy tax obligations upon the vesting of restricted stock units for each of Erin Colgan, John Celebi, Edward van der Horst and Patrick Gallagher.</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8" w:name="exec_comp"/>
      <w:bookmarkEnd w:id="8"/>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named executive officers, consisting of our principal executive officer and our next two most highly compensated executive officers for the fiscal year ended December 31, 2023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Celebi, our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Erin Colgan, our former Chief Financial Officer;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Edward van der Horst, Ph.D., our Chief Scientific Officer.</w:t>
      </w:r>
    </w:p>
    <w:p>
      <w:pPr>
        <w:pStyle w:val="TextBody"/>
        <w:bidi w:val="0"/>
        <w:spacing w:before="360" w:after="120"/>
        <w:jc w:val="left"/>
        <w:rPr>
          <w:rFonts w:ascii="Times New Roman" w:hAnsi="Times New Roman"/>
          <w:sz w:val="20"/>
        </w:rPr>
      </w:pPr>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information concerning the compensation of our named executive officers during the fiscal years ended December 31, 2023 and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45"/>
        <w:gridCol w:w="146"/>
        <w:gridCol w:w="526"/>
        <w:gridCol w:w="146"/>
        <w:gridCol w:w="146"/>
        <w:gridCol w:w="781"/>
        <w:gridCol w:w="146"/>
        <w:gridCol w:w="146"/>
        <w:gridCol w:w="146"/>
        <w:gridCol w:w="781"/>
        <w:gridCol w:w="146"/>
        <w:gridCol w:w="146"/>
        <w:gridCol w:w="146"/>
        <w:gridCol w:w="781"/>
        <w:gridCol w:w="146"/>
        <w:gridCol w:w="146"/>
        <w:gridCol w:w="179"/>
        <w:gridCol w:w="962"/>
        <w:gridCol w:w="146"/>
        <w:gridCol w:w="271"/>
        <w:gridCol w:w="202"/>
        <w:gridCol w:w="939"/>
        <w:gridCol w:w="146"/>
        <w:gridCol w:w="271"/>
        <w:gridCol w:w="146"/>
        <w:gridCol w:w="931"/>
        <w:gridCol w:w="392"/>
      </w:tblGrid>
      <w:tr>
        <w:trPr/>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Celebi</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285,743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02"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1,012,289</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228,016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1,568,882</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11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Colgan (2)</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162,134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02"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734,202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Former Chief Financial Officer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855,316</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11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van der Horst, Ph.D.</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202"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739,082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Chief Scientific Officer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654,404</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114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amounts disclosed represent the aggregate grant date fair value of the awards granted to our named executive officers during 2023 under our 2021 Equity Incentive Plan (the “2021 Plan”), computed in accordance with ASC Topic 718. The assumptions used in calculating the grant date fair value of the awards reported in this column are set forth in the notes to our audited consolidated financial statements included in our Form 10-K, filed with the SEC on February 29, 2024. These amounts do not reflect the actual economic value that may be realized by the named executive officer.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Ms. Colgan resigned as the Company’s Chief Financial Officer effective as of April 10, 2024.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(i) $191,448 paid in cash and (ii) $94,295 paid in the form of common stock options.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(i) $108,630 paid in cash and (ii) $53,504 paid in the form of common stock options.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(i) $103,984 paid in cash and (ii) $51,216 paid in the form of common stock options.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a housing allowance of $38,114, vehicle allowance, parking allowance, life insurance premiums, tax payments (including $1,155 in tax gross up payments), cell phone reimbursement and 401(k) plan matching contributions of $13,200.</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Includes life insurance premiums, cell phone reimbursement, commuter benefits and 401(k) plan matching contributions of $13,200.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Narrative to Summary Compensation Table</w:t>
      </w:r>
    </w:p>
    <w:p>
      <w:pPr>
        <w:pStyle w:val="TextBody"/>
        <w:bidi w:val="0"/>
        <w:jc w:val="left"/>
        <w:rPr>
          <w:rFonts w:ascii="Times New Roman" w:hAnsi="Times New Roman"/>
          <w:color w:val="000000"/>
          <w:sz w:val="20"/>
        </w:rPr>
      </w:pPr>
      <w:r>
        <w:rPr>
          <w:rFonts w:ascii="Times New Roman" w:hAnsi="Times New Roman"/>
          <w:color w:val="000000"/>
          <w:sz w:val="20"/>
        </w:rPr>
        <w:t>We review compensation annually for all employees, including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Our Compensation Committee generally strives to set cash compensation at approximately the 50th percentile of our peer company data for comparable positions and total equity award value between the 50th and 75th percentile, though variations on this pay positioning may occur from year to year.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Compensation Committee of our Board of Directors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without members of management present, discusses and ultimately approves the compensation of our executive officers.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Annual Base Salary</w:t>
      </w:r>
    </w:p>
    <w:p>
      <w:pPr>
        <w:pStyle w:val="TextBody"/>
        <w:bidi w:val="0"/>
        <w:jc w:val="both"/>
        <w:rPr>
          <w:rFonts w:ascii="Times New Roman" w:hAnsi="Times New Roman"/>
          <w:color w:val="000000"/>
          <w:sz w:val="20"/>
        </w:rPr>
      </w:pPr>
      <w:r>
        <w:rPr>
          <w:rFonts w:ascii="Times New Roman" w:hAnsi="Times New Roman"/>
          <w:color w:val="000000"/>
          <w:sz w:val="20"/>
        </w:rPr>
        <w:t xml:space="preserve">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Mr. Celebi’s annual base salary was $515,000 from January 1, 2023 to February 28, 2023 and was $535,600 from March 1, 2023 to December 31, 2023. Ms. Colgan’s annual base salary was $410,000 from January 1, 2023 to February 28, 2023 and was $426,400 from March 1, 2023 to December 31, 2023. Dr. van der Horst’s annual base salary was $350,000 from January 1, 2023 to February 29, 2023, $364,000 from March 1, 2023 to May 31, 2023, and was $400,000 from June 1, 2023 to December 31, 2023. Dr. van der Horst's was promoted to Chief Scientific Officer on December 5, 2022 and our Compensation Committee increased his salary on June 1, 2023 to align his compensation with comparable positions at our peer companies.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Annual Bonus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motivate and reward our executives for achievements relative to our corporate goals and expectations and individual performance for each fiscal year. Our named executive officers are eligible to receive annual bonuses of up to a percentage of the applicable executive’s gross base salary based on performance metrics, as determined by our board of directors. For 2023, the target bonus for each of Mr. Celebi, Ms. Colgan and Dr. van der Horst was 55%, 40% and 40%, respectively, of their respective base salaries. For 2024, the target bonus for Mr. Celebi and Dr. van der Horst is 55% and 40%, respectively, of their respective base salaries. Ms. Colgan resigned from the Company as of April 10, 2024 and is not eligible for a bonus for the year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performance-based annual bonus paid, if any, has historically been calculated by multiplying the executive’s annual base salary at year-end, target bonus percentage, the percentage attainment of the corporate goals established by the Board or Compensation Committee for such year, and the percentage attainment of individual goals. However, the Compensation Committee is not required to calculate bonuses in this manner and retains discretion in the amounts it awards and the factors it takes into consideration in determining bonus amounts. After the end of the year, the Compensation Committee reviews our performance against our goals and approves the extent to which our executives achieved each of our corporate and individual goals, as applicable, and, for each named executive officer, the amount of the bonus awarded.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2023 corporate goals consisted of research and development, business development and financial objectives. In early 2024, the Compensation Committee determined that the 2023 corporate goals were achieved at a 97.0% level. After considering the achievement of the 2023 corporate goals together with individual goals where applicable, the Compensation Committee awarded Mr. Celebi, Ms. Colgan and Dr. van der Horst 97.0%, 95.1% and 97.0% of their target bonuses, respectively, for the year ended December 31, 2023. The actual bonus amounts paid are reflected in the “Non-Equity Incentive Plan Compensation” column of the Summary Compensation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approval of annual bonuses for the achievement of 2023 corporate goals, the Compensation Committee determined to pay our named executive officers one-third of their earned annual bonuses in the form of stock options and the remainder in cash. The Compensation Committee approved this change in line with the belief that equity awards provide our executives with a strong link to our long-term performance, create an ownership culture, and help to align the interests of our executives and stockholders. In addition, awarding a portion of the annual bonuses in equity is anticipated to help preserve our cash for the continued development of our pipeline. The Compensation Committee effected this change for the 2023 performance period only.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Accordingly, the Compensation Committee approved the following annual bonuses for 2023 for the Company’s named executive officers, which are based on a partial achievement of 2023 corporate goals:</w:t>
      </w:r>
    </w:p>
    <w:tbl>
      <w:tblPr>
        <w:tblW w:w="7980" w:type="dxa"/>
        <w:jc w:val="left"/>
        <w:tblInd w:w="0" w:type="dxa"/>
        <w:tblLayout w:type="fixed"/>
        <w:tblCellMar>
          <w:top w:w="28" w:type="dxa"/>
          <w:left w:w="28" w:type="dxa"/>
          <w:bottom w:w="28" w:type="dxa"/>
          <w:right w:w="28" w:type="dxa"/>
        </w:tblCellMar>
      </w:tblPr>
      <w:tblGrid>
        <w:gridCol w:w="2386"/>
        <w:gridCol w:w="146"/>
        <w:gridCol w:w="418"/>
        <w:gridCol w:w="1547"/>
        <w:gridCol w:w="146"/>
        <w:gridCol w:w="146"/>
        <w:gridCol w:w="471"/>
        <w:gridCol w:w="2529"/>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w:t>
            </w:r>
          </w:p>
        </w:tc>
        <w:tc>
          <w:tcPr>
            <w:tcW w:w="191" w:type="dxa"/>
            <w:tcBorders/>
            <w:shd w:fill="FFFFFF" w:val="clear"/>
            <w:vAlign w:val="center"/>
          </w:tcPr>
          <w:p>
            <w:pPr>
              <w:pStyle w:val="TableContents"/>
              <w:bidi w:val="0"/>
              <w:spacing w:before="0" w:after="283"/>
              <w:jc w:val="center"/>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(2/3 of Total 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 Options (1/3 of Total Bonus)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Celebi</w:t>
            </w:r>
          </w:p>
        </w:tc>
        <w:tc>
          <w:tcPr>
            <w:tcW w:w="14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165,889</w:t>
            </w:r>
          </w:p>
        </w:tc>
        <w:tc>
          <w:tcPr>
            <w:tcW w:w="191" w:type="dxa"/>
            <w:tcBorders/>
            <w:shd w:fill="CCEE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Erin Colgan</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5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94,128</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Edward van der Horst, Ph.D.</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c>
          <w:tcPr>
            <w:tcW w:w="25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stock options were fully vested as of the grant date, February 15, 2024, and granted pursuant to the standard form of stock option grant notice and award agreement in substantially the form previously approved by the Board.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Equity-Based Incentive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equity awards provide our executives with a strong link to our long-term performance, create an ownership culture and align the interests of our executives and our stockholders. We believe that our equity awards are an important retention tool for our executive officers, as well as for our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award equity awards broadly to our employees. Grants to our executives and other employees are made at the discretion of our board of directors and Compensation Committee. Our Compensation Committee grants stock options, restricted stock units, or a combination of both to our employees, including our named executive officers.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15, 2023, Mr. Celebi, Ms. Colgan, and Dr. van der Horst were granted annual equity grants consisting of 21,300, 21,300, and 17,700 RSUs, respectively, and stock options to purchase 90,000 shares, 90,000 shares and 75,000 shares, respectively. The RSUs vest in four equal annual installments on February 15 of each year beginning with calendar year 2024, subject to the officer’s continuous service as of the applicable vesting date. One-fourth of the shares underlying the stock options vest on February 15, 2024, with the remainder vesting monthly over an additional 36 months of continuous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Colgan resigned from the Company effective April 10, 2024 and as a result all her outstanding equity awards ceased vesting as of such date. However, pursuant to a consulting agreement with us, her then-vested options remain exercisable until the latter of (a) October 7, 2024 or (b) such time as provided for in the applicable equity plan and Ms. Colgan’s applicable option award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additional information about equity grants made historically to our named executive officers, please see “—Outstanding Equity Awards as of December 31, 2023” below.</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Nonqualified Deferred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named executive officers did not participate in, or earn any benefits under, a nonqualified deferred compensation plan sponsored by us during fiscal 2023.</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Termination or Change in Control Benefits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Each of our named executive officers’ employment agreements entitles them to certain benefits upon a qualifying termination. For additional discussion, please see “Employment Agreements with our Named Executive Officers.”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Health and Welfare; Perquisites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(including Mr. Celebi’s housing and vehicle allowances).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401(k) Plan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maintain a safe harbor 401(k) plan that provides eligible U.S. employees with an opportunity to save for retirement on a tax advantaged basis. Eligible employees are able to defer eligible compensation up to certain limits of the Code, which are updated annually. We have the ability to make matching and discretionary contributions to the 401(k) plan. Currently, we make matching contributions or discretionary contributions to the 401(k) plan up to a maximum of 4% of such employee’s annual compensation.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360" w:after="120"/>
        <w:jc w:val="both"/>
        <w:rPr>
          <w:rFonts w:ascii="Times New Roman" w:hAnsi="Times New Roman"/>
          <w:sz w:val="20"/>
        </w:rPr>
      </w:pPr>
      <w:r>
        <w:rPr>
          <w:rFonts w:ascii="Times New Roman" w:hAnsi="Times New Roman"/>
          <w:b/>
          <w:color w:val="000000"/>
          <w:sz w:val="20"/>
        </w:rPr>
        <w:t>Employment Agreements with our Named Executive Officers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Below are descriptions of our employment agreements with our named executive officers. The agreements generally provide for at-will employment and set forth the named executive officer’s initial base salary, eligibility for employee benefits and severance benefits upon a qualifying termination of employment. Furthermore, each of our named executive officers has executed a form of our standard proprietary information and inventions assignment agreement. The key terms of the employment agreements with our named executive officers, including potential payments upon termination or change of control, are described below. </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Employment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employment agreements with our named executive officers, which for Mr. Celebi became effective upon the closing of our initial public offering. Our employment agreement with Ms. Colgan was amended and restated effective January 1, 2022 in connection with her appointment as our Chief Financial Officer. Our employment agreement with Dr. van der Horst was most recently amended and restated effective December 7, 2022 in connection with his appointment as our Chief Scientific Officer. The agreements generally provide for at-will employment and set forth the named executive officer’s base salary, target bonus and eligibility for employee benefits and severance benefits upon a qualifying termination of employment.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employment agreements provide that, subject to certain conditions and limitations, upon the termination of the employment of an eligible executive officer without Cause or resignation for Good Reason (each, as defined in the employment agreements) not in connection with a Change in Control (as defined in each employment agreement):</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Celebi will be eligible to receive continued payment of his base salary for 12 months; Ms. Colgan and Dr. van der Horst will be eligible to receive continued payment of their base salaries for nine months;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each executive officer shall be eligible to receive COBRA premiums for the applicable length of the severance period as described above.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employment agreements provide that, subject to certain conditions and limitations, upon the termination of the employment of an eligible executive officer without Cause or resignation for Good Reason (each, as defined in the employment agreements) within 12 months following a Change in Control:</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Celebi will be eligible to receive a lump-sum cash severance benefit equal to 18 months’ base salary and 150% of his target bonus; Ms. Colgan and Dr. van der Horst will be eligible to receive a lump-sum cash severance benefit equal to 12 months’ base salary and 100% of the officer’s target bonus;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such executive officer shall be eligible to receive COBRA premiums for the applicable length of the severance period as described above; and</w:t>
            </w:r>
          </w:p>
        </w:tc>
      </w:tr>
    </w:tbl>
    <w:p>
      <w:pPr>
        <w:pStyle w:val="TextBody"/>
        <w:bidi w:val="0"/>
        <w:jc w:val="left"/>
        <w:rPr/>
      </w:pPr>
      <w:r>
        <w:rPr/>
        <w:t> </w:t>
      </w:r>
    </w:p>
    <w:tbl>
      <w:tblPr>
        <w:tblW w:w="9672" w:type="dxa"/>
        <w:jc w:val="left"/>
        <w:tblInd w:w="0" w:type="dxa"/>
        <w:tblLayout w:type="fixed"/>
        <w:tblCellMar>
          <w:top w:w="28" w:type="dxa"/>
          <w:left w:w="28" w:type="dxa"/>
          <w:bottom w:w="28" w:type="dxa"/>
          <w:right w:w="28" w:type="dxa"/>
        </w:tblCellMar>
      </w:tblPr>
      <w:tblGrid>
        <w:gridCol w:w="161"/>
        <w:gridCol w:w="109"/>
        <w:gridCol w:w="146"/>
        <w:gridCol w:w="92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unvested equity awards held by such executive officer will become immediately vested and fully exercisable.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severance benefits described above are conditioned upon the executive officer’s execution and non-revocation of a separation agreement, including a release of claims, and compliance with certain restrictive covenants.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Colgan resigned from the Company effective April 10, 2024 and did not receive any severance benefits.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Consulting Agreement with Ms. Colgan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her resignation, on April 11, 2024 we entered into a consulting agreement with Ms. Colgan, pursuant to which Ms. Colgan will provide certain transition services to us through April 30, 2024 and will be paid a consulting fee equal to $1,640 per business day. The Consulting Agreement automatically expires on April 30, 2024, unless terminated earlier pursuant to the terms of the Consulting Agreement. In addition, the exercise period for Ms. Colgan’s existing vested stock options was extended to the latter of (a) October 7, 2024 or (b) until such time as provided for in the applicable equity plan and Ms. Colgan’s applicable option award agreement.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Policy on Hedging and Speculative Trading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insider trading and window period policy prohibits directors, officers and employees from engaging in short sales, transactions in put or call options, hedging transactions, margin accounts or other inherently speculative transactions with respect to our stock at any time.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October 2023, the Compensation Committee adopted our Incentive Compensation Recoupment Policy (the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Outstanding Equity Awards as of December 31, 2023</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sets forth certain information about equity awards granted to our named executive officers that remain outstanding as of December 31, 2023: </w:t>
      </w:r>
    </w:p>
    <w:tbl>
      <w:tblPr>
        <w:tblW w:w="10205" w:type="dxa"/>
        <w:jc w:val="left"/>
        <w:tblInd w:w="0" w:type="dxa"/>
        <w:tblLayout w:type="fixed"/>
        <w:tblCellMar>
          <w:top w:w="28" w:type="dxa"/>
          <w:left w:w="28" w:type="dxa"/>
          <w:bottom w:w="28" w:type="dxa"/>
          <w:right w:w="28" w:type="dxa"/>
        </w:tblCellMar>
      </w:tblPr>
      <w:tblGrid>
        <w:gridCol w:w="832"/>
        <w:gridCol w:w="146"/>
        <w:gridCol w:w="614"/>
        <w:gridCol w:w="146"/>
        <w:gridCol w:w="146"/>
        <w:gridCol w:w="886"/>
        <w:gridCol w:w="146"/>
        <w:gridCol w:w="146"/>
        <w:gridCol w:w="157"/>
        <w:gridCol w:w="954"/>
        <w:gridCol w:w="146"/>
        <w:gridCol w:w="305"/>
        <w:gridCol w:w="146"/>
        <w:gridCol w:w="226"/>
        <w:gridCol w:w="766"/>
        <w:gridCol w:w="146"/>
        <w:gridCol w:w="146"/>
        <w:gridCol w:w="903"/>
        <w:gridCol w:w="146"/>
        <w:gridCol w:w="176"/>
        <w:gridCol w:w="923"/>
        <w:gridCol w:w="146"/>
        <w:gridCol w:w="146"/>
        <w:gridCol w:w="276"/>
        <w:gridCol w:w="935"/>
        <w:gridCol w:w="146"/>
        <w:gridCol w:w="354"/>
      </w:tblGrid>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of shares of units of stock that have not vested (9)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Celebi</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90,000</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2/15/2033</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14,740</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87,534</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2/15/2032</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27,974</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121,528</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2/3/2031</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536,067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23,308</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8/4/2030</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2/22/2018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4/1/2028</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Colgan</w:t>
            </w:r>
          </w:p>
        </w:tc>
        <w:tc>
          <w:tcPr>
            <w:tcW w:w="14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90,000</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2/15/2033</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14,740</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w:t>
            </w:r>
          </w:p>
        </w:tc>
      </w:tr>
      <w:tr>
        <w:trPr/>
        <w:tc>
          <w:tcPr>
            <w:tcW w:w="8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33,584</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2/15/2032</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10,899</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w:t>
            </w:r>
          </w:p>
        </w:tc>
      </w:tr>
      <w:tr>
        <w:trPr/>
        <w:tc>
          <w:tcPr>
            <w:tcW w:w="8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8/5/2020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9,115</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8/4/2030</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van der Horst, Ph.D.</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75,000</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2/15/2033</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12,248</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23,835</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2/15/2032</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7,629</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10/8/2021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9,168</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10/31/2031</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21,268</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2/3/2031</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2,301</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8/4/2030</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8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9/3/2019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9/2/2029</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vest 25% on February 15, 2024 and thereafter in 36 equal monthly installments until February 15, 2027, subject to the officer’s continued service through each applicable vesting date. Ms. Colgan resigned from the Company effective April 10, 2024 and as a result unvested shares underlying her option ceased vesting as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vest in 26 equal monthly installments until February 15, 2026, subject to the officer’s continued service through each applicable vesting date. Ms. Colgan resigned from the Company effective April 10, 2024 and as a result unvested shares underlying her option ceased vesting as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vest in 14 equal monthly installments until February 15, 2025, subject to the officer’s continued service through each applicable vesting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vest in 2 equal monthly installments until February 15, 2024, subject to the officer’s continued service through each applicable vesting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were scheduled to vest in 7 equal monthly installments until July 13, 2024, subject to the officer’s continued service through each applicable vesting date. Ms. Colgan resigned from the Company effective April 10, 2024 and as a result unvested shares underlying this option ceased vesting as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option vest in 21 equal monthly installments until October 8, 2025, subject to the officer’s continued service through each applicable vesting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restricted stock unit vest 25% on February 15, 2024 and thereafter in 3 equal yearly installments until February 15, 2027, subject to the officer’s continued service through each applicable vesting date. Ms. Colgan resigned from the Company effective April 10, 2024 and as a result unvested shares underlying her RSU ceased vesting as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unvested shares underlying this restricted stock unit vest in 3 equal yearly installments until February 15, 2026, subject to the officer’s continued service through each applicable vesting date. Ms. Colgan resigned from the Company effective April 10, 2024 and as a result unvested shares underlying her restricted stock unit ceased vesting as of such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The market value amount is calculated based on the closing price of our common stock of $0.692 per share on December 29, 2023.</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9" w:name="dir_comp"/>
      <w:bookmarkEnd w:id="9"/>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information regarding the compensation earned or paid to our non-employee directors during the year ended December 31, 2023. John Celebi, our President and Chief Executive Officer, is also a member of our Board of Directors, but did not receive any additional compensation for his service as a director. Mr. Celebi’s compensation as an executive officer is set forth above under “Executive Compensation—Summary Compensation Table.”</w:t>
      </w:r>
    </w:p>
    <w:tbl>
      <w:tblPr>
        <w:tblW w:w="7906" w:type="dxa"/>
        <w:jc w:val="left"/>
        <w:tblInd w:w="0" w:type="dxa"/>
        <w:tblLayout w:type="fixed"/>
        <w:tblCellMar>
          <w:top w:w="28" w:type="dxa"/>
          <w:left w:w="28" w:type="dxa"/>
          <w:bottom w:w="28" w:type="dxa"/>
          <w:right w:w="28" w:type="dxa"/>
        </w:tblCellMar>
      </w:tblPr>
      <w:tblGrid>
        <w:gridCol w:w="1786"/>
        <w:gridCol w:w="146"/>
        <w:gridCol w:w="176"/>
        <w:gridCol w:w="814"/>
        <w:gridCol w:w="146"/>
        <w:gridCol w:w="146"/>
        <w:gridCol w:w="149"/>
        <w:gridCol w:w="586"/>
        <w:gridCol w:w="146"/>
        <w:gridCol w:w="146"/>
        <w:gridCol w:w="146"/>
        <w:gridCol w:w="676"/>
        <w:gridCol w:w="146"/>
        <w:gridCol w:w="146"/>
        <w:gridCol w:w="232"/>
        <w:gridCol w:w="909"/>
        <w:gridCol w:w="146"/>
        <w:gridCol w:w="146"/>
        <w:gridCol w:w="146"/>
        <w:gridCol w:w="78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br/>
              <w:t>Awards</w:t>
              <w:b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 Broder, M.D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67,982</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Jessie English, Ph.D.</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Bob Holmen</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73,385</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Kristian Humer</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62,243</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Peyer, Ph.D.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68,424</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Ringo</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101,567</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 Ricks</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75,555</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Deneen Vojta, M.D.</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Amounts reported represent the aggregate grant date fair value of equity awards granted to our directors during 2023 under our 2021 Plan, computed in accordance with ASC Topic 718. The assumptions used in calculating the grant date fair value of the awards reported in this column are set forth in the notes to our audited consolidated financial statements included in our Form 10-K, filed with the SEC on February 29, 2024. These amounts do not reflect the actual economic value that may be realized by the non-employee director.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4,466 RSUs granted on July 10, 2023. As of December 31, 2023, Dr. Broder, Dr. English, Mr. Holmen, Mr. Humer, Dr. Peyer, Mr. Ricks and Dr. Vojta each held 4,466 RSUs and Mr. Ringo held 10,422 RSUs.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an option to purchase 14,550 shares of our common stock granted on July 10, 2023 at an exercise price of $1.22 per share. As of December 31, 2023, Dr. Broder, Dr. English, Mr. Holmen, Mr. Humer, Dr. Peyer, Mr. Ringo, Mr. Ricks and Dr. Vojta held options to purchase 48,620, 45,767, 70,995, 45,767, 48,620, 43,650, 48,620 and 29,100 shares of our common stock,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Represents reimbursement for travel and related expenses incurred by directors in connection with attending board meetings and committee meetings.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2023, the Board of Directors canceled all stock options previously issued to non-employee directors that had an exercise price equal to or greater than $16.32 per share.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2022 Non-Employee Director Compensation Policy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Following recommendation from the compensation committee, in April 2022 our Board of Directors amended our non-employee director compensation policy (the "2022 Amended Policy"). As amended, in 2023 each such non-employee director received the compensation described below for service on our board of directors:</w:t>
      </w:r>
    </w:p>
    <w:p>
      <w:pPr>
        <w:pStyle w:val="TextBody"/>
        <w:bidi w:val="0"/>
        <w:spacing w:before="120" w:after="120"/>
        <w:jc w:val="both"/>
        <w:rPr>
          <w:rFonts w:ascii="Times New Roman" w:hAnsi="Times New Roman"/>
          <w:sz w:val="20"/>
        </w:rPr>
      </w:pPr>
      <w:r>
        <w:rPr>
          <w:rFonts w:ascii="Times New Roman" w:hAnsi="Times New Roman"/>
          <w:i/>
          <w:color w:val="000000"/>
          <w:sz w:val="20"/>
        </w:rPr>
        <w:t>Cash compensation</w:t>
      </w:r>
      <w:r>
        <w:rPr>
          <w:rFonts w:ascii="Times New Roman" w:hAnsi="Times New Roman"/>
          <w:color w:val="000000"/>
          <w:sz w:val="20"/>
        </w:rPr>
        <w:t xml:space="preserve">. We paid each of our non-employee directors cash retainers for service on our board of directors and committees of our board of directors as follows: </w:t>
      </w:r>
    </w:p>
    <w:tbl>
      <w:tblPr>
        <w:tblW w:w="10134" w:type="dxa"/>
        <w:jc w:val="left"/>
        <w:tblInd w:w="0" w:type="dxa"/>
        <w:tblLayout w:type="fixed"/>
        <w:tblCellMar>
          <w:top w:w="28" w:type="dxa"/>
          <w:left w:w="28" w:type="dxa"/>
          <w:bottom w:w="28" w:type="dxa"/>
          <w:right w:w="28" w:type="dxa"/>
        </w:tblCellMar>
      </w:tblPr>
      <w:tblGrid>
        <w:gridCol w:w="7586"/>
        <w:gridCol w:w="146"/>
        <w:gridCol w:w="146"/>
        <w:gridCol w:w="349"/>
        <w:gridCol w:w="1616"/>
        <w:gridCol w:w="291"/>
      </w:tblGrid>
      <w:tr>
        <w:trPr/>
        <w:tc>
          <w:tcPr>
            <w:tcW w:w="7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7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Cash Retainer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5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Annual retainer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7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independent chair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5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audit committee chair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7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audit committee non-chair member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5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compensation committee chair (1)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7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compensation committee non-chair member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5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nominating and corporate governance committee chair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7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nominating and corporate governance committee non-chair member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58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science and technology committee chair</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7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retainer for science and technology committee non-chair member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As part of the April 2022 amendment to the non-employee director compensation policy, the annual cash retainer for the Compensation Committee Chair was increased from $10,000 to $15,000. However, due to ministerial error our Compensation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Committee Chair continued to receive a retainer of $10,000 for 2022 and 2023. In May 2024, our Board of Directors further amended the non-employee director compensation policy to restore the Compensation Committee Chair annual retainer to $10,000 and nullify the April 2022 increase to $15,000. </w:t>
      </w:r>
    </w:p>
    <w:p>
      <w:pPr>
        <w:pStyle w:val="TextBody"/>
        <w:bidi w:val="0"/>
        <w:spacing w:before="120" w:after="283"/>
        <w:jc w:val="left"/>
        <w:rPr>
          <w:rFonts w:ascii="Times New Roman" w:hAnsi="Times New Roman"/>
          <w:sz w:val="20"/>
        </w:rPr>
      </w:pPr>
      <w:r>
        <w:rPr>
          <w:rFonts w:ascii="Times New Roman" w:hAnsi="Times New Roman"/>
          <w:i/>
          <w:color w:val="000000"/>
          <w:sz w:val="20"/>
        </w:rPr>
        <w:t>Initial equity award</w:t>
      </w:r>
      <w:r>
        <w:rPr>
          <w:rFonts w:ascii="Times New Roman" w:hAnsi="Times New Roman"/>
          <w:color w:val="000000"/>
          <w:sz w:val="20"/>
        </w:rPr>
        <w:t xml:space="preserve">. Under the 2022 Amended Policy, each new non-employee director elected or appointed to our board of directors would be granted (i) an option to purchase 29,100 shares of our common stock, vesting in 36 substantially equal monthly installments following the grant date, and (ii) 8,933 RSUs, vesting in equal annual installments over a three year period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 independent chair is elected or appointed to the Board, the independent chair would be granted an additional 10,000 RSUs, vesting in full on the first anniversary of the date of grant.</w:t>
      </w:r>
    </w:p>
    <w:p>
      <w:pPr>
        <w:pStyle w:val="TextBody"/>
        <w:bidi w:val="0"/>
        <w:spacing w:before="120" w:after="283"/>
        <w:jc w:val="left"/>
        <w:rPr>
          <w:rFonts w:ascii="Times New Roman" w:hAnsi="Times New Roman"/>
          <w:sz w:val="20"/>
        </w:rPr>
      </w:pPr>
      <w:r>
        <w:rPr>
          <w:rFonts w:ascii="Times New Roman" w:hAnsi="Times New Roman"/>
          <w:i/>
          <w:color w:val="000000"/>
          <w:sz w:val="20"/>
        </w:rPr>
        <w:t>Annual equity awards</w:t>
      </w:r>
      <w:r>
        <w:rPr>
          <w:rFonts w:ascii="Times New Roman" w:hAnsi="Times New Roman"/>
          <w:color w:val="000000"/>
          <w:sz w:val="20"/>
        </w:rPr>
        <w:t>. Under the 2022 Amended Policy, on the date of each annual meeting of stockholders of our company, each non-employee director who has served as a non-employee director for at least six months prior to such stockholder meeting and who will continue to serve on our board of directors would be granted (i) an option to purchase 14,550 shares of our common stock, vesting in monthly installments such that the option is fully vested on the earlier of the first anniversary of the grant date or the date of our next annual stockholder meeting, and (ii) 4,466 RSUs, vesting in full on the first anniversary of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equity awards held by a non-employee director will vest in full upon a change in control.</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2024 Non-Employee Director Compensation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recommendation from the compensation committee, in March 2024 our Board of Directors amended our non-employee director compensation policy (the "2024 Amended Policy"). The cash compensation portion of the non-employee director policy was not amended, other than the reduction in the Compensation Committee Chair annual retainer to $10,000 as described above. Under the 2024 Amended Policy, each non-employee director will receive equity compensation as follows: </w:t>
      </w:r>
    </w:p>
    <w:p>
      <w:pPr>
        <w:pStyle w:val="TextBody"/>
        <w:bidi w:val="0"/>
        <w:spacing w:before="120" w:after="283"/>
        <w:jc w:val="left"/>
        <w:rPr>
          <w:rFonts w:ascii="Times New Roman" w:hAnsi="Times New Roman"/>
          <w:sz w:val="20"/>
        </w:rPr>
      </w:pPr>
      <w:r>
        <w:rPr>
          <w:rFonts w:ascii="Times New Roman" w:hAnsi="Times New Roman"/>
          <w:i/>
          <w:color w:val="000000"/>
          <w:sz w:val="20"/>
        </w:rPr>
        <w:t>Initial equity award</w:t>
      </w:r>
      <w:r>
        <w:rPr>
          <w:rFonts w:ascii="Times New Roman" w:hAnsi="Times New Roman"/>
          <w:color w:val="000000"/>
          <w:sz w:val="20"/>
        </w:rPr>
        <w:t xml:space="preserve">. Each new non-employee director elected or appointed to our board of directors will be granted an option to purchase 38,000 shares of our common stock, vesting in 36 substantially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 independent chair is elected or appointed to the Board, the independent chair will be granted an additional option to purchase 10,000 shares of our common stock, vesting in full on the first anniversary of the date of grant.</w:t>
      </w:r>
    </w:p>
    <w:p>
      <w:pPr>
        <w:pStyle w:val="TextBody"/>
        <w:bidi w:val="0"/>
        <w:spacing w:before="120" w:after="283"/>
        <w:jc w:val="left"/>
        <w:rPr>
          <w:rFonts w:ascii="Times New Roman" w:hAnsi="Times New Roman"/>
          <w:sz w:val="20"/>
        </w:rPr>
      </w:pPr>
      <w:r>
        <w:rPr>
          <w:rFonts w:ascii="Times New Roman" w:hAnsi="Times New Roman"/>
          <w:i/>
          <w:color w:val="000000"/>
          <w:sz w:val="20"/>
        </w:rPr>
        <w:t>Annual equity awards</w:t>
      </w:r>
      <w:r>
        <w:rPr>
          <w:rFonts w:ascii="Times New Roman" w:hAnsi="Times New Roman"/>
          <w:color w:val="000000"/>
          <w:sz w:val="20"/>
        </w:rPr>
        <w:t>. On the date of each annual meeting of stockholders of our company, each non-employee director who has served as a non-employee director for at least six months prior to such stockholder meeting and who will continue to serve on our board of directors will be granted an option to purchase 19,000 shares of our common stock, vesting in monthly installments such that the option is fully vested on the earlier of the first anniversary of the grant date or the date of our next annual stockholder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equity awards held by a non-employee director will vest in full upon a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under the 2024 Amended Policy all stock options granted to non-employee directors shall remain exercisable following the termination of a director's service to the Company until the earliest of (x) four years following such termination of service, (y) the expiration of the option and (z) the later of (i) the number of full years of service to the Company provided by such director and (ii) three months after termination for any reason other than death or disability, 12 months after termination due to disability or 18 months due to death. Stock options shall expire immediately upon termination of a director for cause. The foregoing changes to the post-termination exercise period apply to all stock options previously granted to our directors and all stock options granted in the future.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10" w:name="eqty_comp"/>
      <w:bookmarkEnd w:id="10"/>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shows information regarding our equity compensation plans in effect as of December 31, 2023. </w:t>
      </w:r>
    </w:p>
    <w:tbl>
      <w:tblPr>
        <w:tblW w:w="10205" w:type="dxa"/>
        <w:jc w:val="left"/>
        <w:tblInd w:w="0" w:type="dxa"/>
        <w:tblLayout w:type="fixed"/>
        <w:tblCellMar>
          <w:top w:w="28" w:type="dxa"/>
          <w:left w:w="28" w:type="dxa"/>
          <w:bottom w:w="28" w:type="dxa"/>
          <w:right w:w="28" w:type="dxa"/>
        </w:tblCellMar>
      </w:tblPr>
      <w:tblGrid>
        <w:gridCol w:w="3926"/>
        <w:gridCol w:w="146"/>
        <w:gridCol w:w="213"/>
        <w:gridCol w:w="1360"/>
        <w:gridCol w:w="146"/>
        <w:gridCol w:w="313"/>
        <w:gridCol w:w="478"/>
        <w:gridCol w:w="1056"/>
        <w:gridCol w:w="146"/>
        <w:gridCol w:w="313"/>
        <w:gridCol w:w="216"/>
        <w:gridCol w:w="1384"/>
        <w:gridCol w:w="146"/>
        <w:gridCol w:w="362"/>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w:t>
              <w:br/>
              <w:t>be issued upon exercise</w:t>
              <w:br/>
              <w:t>of outstanding options,</w:t>
              <w:br/>
              <w:t>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 options,</w:t>
              <w:br/>
              <w:t>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left"/>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 for</w:t>
              <w:br/>
              <w:t>future issuance under</w:t>
              <w:br/>
              <w:t>equity compensation</w:t>
              <w:br/>
              <w:t>plans (excluding</w:t>
              <w:br/>
              <w:t>securities reflected in</w:t>
              <w:br/>
              <w:t>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2" w:type="dxa"/>
            <w:tcBorders/>
            <w:shd w:fill="FFFFFF" w:val="cle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3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3,652,264</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4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16" w:type="dxa"/>
            <w:tcBorders/>
            <w:shd w:fill="CFF0FC" w:val="clear"/>
            <w:vAlign w:val="center"/>
          </w:tcPr>
          <w:p>
            <w:pPr>
              <w:pStyle w:val="TableContents"/>
              <w:bidi w:val="0"/>
              <w:spacing w:before="0" w:after="283"/>
              <w:jc w:val="left"/>
              <w:rPr/>
            </w:pPr>
            <w:r>
              <w:rPr/>
              <w:t> </w:t>
            </w:r>
          </w:p>
        </w:tc>
        <w:tc>
          <w:tcPr>
            <w:tcW w:w="13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3,293,216</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3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468,954</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3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4,121,218</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53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13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3,293,216</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shares issuable upon exercise of outstanding options under our 2018 Plan and 2021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weighted average exercise price is calculated based solely on outstanding stock options. It does not take into account the shares of common stock underlying RSUs, which have no exercise price. There are no warrants outstanding under our equity compensation plans.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Consists of shares available under the 2021 Plan and our 2021 Employee Stock Purchase Plan (the “ESPP”) as of December 31, 2023. On January 1 of each year, the number of shares reserved under the 2021 Plan and the ESPP is automatically increased by 4.0% and 1.0%, respectively, of the total number of shares of common stock that are outstanding at that time, or a lesser number of shares as may be determined by our board of directors. In December 2023, with respect to the 2021 Plan only the board of directors determined that the automatic increase of available shares for calendar year 2023 would be reduced from 4.0% to 2.0% of the Company's capital stock. As a result, an additional 500,603 shares and 250,301 shares were added to the number of available shares under the 2021 Plan and ESPP, respectively, effective January 1, 2024.</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11" w:name="rltd_party"/>
      <w:bookmarkEnd w:id="11"/>
      <w:r>
        <w:rPr>
          <w:rFonts w:ascii="Times New Roman" w:hAnsi="Times New Roman"/>
          <w:b/>
          <w:color w:val="000000"/>
          <w:sz w:val="20"/>
        </w:rPr>
        <w:t>TRANSACTIONS WITH RELATED PERSONS</w:t>
      </w:r>
      <w:r>
        <w:rPr>
          <w:rFonts w:ascii="Times New Roman" w:hAnsi="Times New Roman"/>
          <w:color w:val="000000"/>
          <w:sz w:val="20"/>
        </w:rPr>
        <w:t xml:space="preserve"> </w:t>
      </w:r>
    </w:p>
    <w:p>
      <w:pPr>
        <w:pStyle w:val="TextBody"/>
        <w:bidi w:val="0"/>
        <w:spacing w:before="360" w:after="120"/>
        <w:jc w:val="left"/>
        <w:rPr>
          <w:rFonts w:ascii="Times New Roman" w:hAnsi="Times New Roman"/>
          <w:sz w:val="20"/>
        </w:rPr>
      </w:pPr>
      <w:r>
        <w:rPr>
          <w:rFonts w:ascii="Times New Roman" w:hAnsi="Times New Roman"/>
          <w:b/>
          <w:color w:val="000000"/>
          <w:sz w:val="20"/>
        </w:rPr>
        <w:t>Related-Person Transactions Policy and Procedures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risks, costs and benefits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on a director’s independence in the event that the related person is a director, immediate family member of a director or an entity with which a director is affiliated;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other sources for comparable services or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available to or from, as the case may be, unrelated third parties or to or from employees generally.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pStyle w:val="TextBody"/>
        <w:bidi w:val="0"/>
        <w:spacing w:before="360" w:after="120"/>
        <w:jc w:val="both"/>
        <w:rPr>
          <w:rFonts w:ascii="Times New Roman" w:hAnsi="Times New Roman"/>
          <w:sz w:val="20"/>
        </w:rPr>
      </w:pPr>
      <w:r>
        <w:rPr>
          <w:rFonts w:ascii="Times New Roman" w:hAnsi="Times New Roman"/>
          <w:b/>
          <w:color w:val="000000"/>
          <w:sz w:val="20"/>
        </w:rPr>
        <w:t>Certain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below, there have been no transactions since January 1, 2022 to which we have been a participant in which the amount involved exceeded or will exceed $120,000 or, during such time as we qualify as a “smaller reporting company,” the lesser of (1) $120,000 or (2) 1% of the average of our total assets for the last two completed years, and in which any of our then directors, executive officers or holders of more than 5% of our common stock at the time of such transaction, or any members of their immediate family, had or will have a direct or indirect material interest, other than compensation arrangements which are described in “Executive Compensation” and “Director Compensation 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an investors’ rights agreement (the “IRA”) with certain holders of our convertible preferred stock, including our 5% stockholders and their affiliates. The IRA provides these stockholders with certain registration rights, including the right to demand that we file a registration statement or request that their shares be covered by a registration statement that we are otherwise filing, and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right to obligate us to an agreement to provide for additional rights to demand that we file a registration statement or request that their shares be covered by a registration statement that we have filed and maintain as effective.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Hope Farms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we entered into a Service Agreement (the “Service Agreement”) with Hope Farms Disco Bay LLC (“Hope Farms”), pursuant to which Hope Farms provides services to us related to research activities. The Chief Executive Officer of Hope Farms, Mai Hope Le, is the wife of Dr. Pierce, our former Chief Research and Development Officer, and Dr. Pierce is a co-founder and member of Hope Farms. In exchange for the services provided pursuant to the Service Agreement, we paid $150,869 and $130,578 to Hope Farms during 2022 and 2021, respectively. In October 2022, the Company and Hope Farms agreed to terminate the Service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 Agreement with Binney Street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2022, we entered into a service agreement with Binney Street Partners LLC (“Binney Street Partners”) to provide business development services (the “BSP Service Agreement”). The Company subsequently hired Patrick Gallagher, who was a managing partner of Binney Street Partners, to serve as the Company's Chief Business Officer, effective June 1, 2022. In exchange for the services provided pursuant to the BSP Service Agreement, we paid $223,372 to Binney Street Partners during 2022. In September 2022, the Company and Binney Street Partners agreed to terminate the BSP Service Agreement, effective as of August 11, 2022.</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 Agreement with Apeiron Investment Group and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2023, we entered into a Purchase Agreement (the “Apeiron Purchase Agreement”) with Apeiron Investment Group Ltd., Presight Sensei Co-Invest Fund, L.P., Presight Sensei Co-Invest Management, L.L.C., Christian Angermayer, Apeiron SICAV Ltd. - Presight Capital Fund ONE, and Altarius Asset Management Ltd. (collectively, the “Apeiron Parties”). At the time of the execution of the Apeiron Purchase Agreement, the Apeiron Parties collectively held more than 5% of our voting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Apeiron Purchase Agreement, we agreed to purchase 4,454,248 shares of the Company’s common stock (the “Purchased Shares”) from certain of the Apeiron Parties (the “Sellers”) for a purchase price of $1.58 per share. The Purchased Shares constituted the Apeiron Parties’ entire beneficial ownership of the Company’s common stock. The transaction closed on June 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 Agreement with Cambrian Biopharma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31, 2023, we entered into a Purchase Agreement (the "Cambrian Purchase Agreement") with Cambrian Biopharma Inc. ("Cambrian"), pursuant to which we agreed to repurchase 1,587,302 shares of our common stock from Cambrian, a beneficial owner of more than 5% of our outstanding shares of common stock, at a purchase price of $1.26 per share and for an aggregate purchase price of approximately $2 million. The transaction closed on August 15, 2023. James Peyer, a director of the Company, is the CEO of Cambrian. </w:t>
      </w:r>
    </w:p>
    <w:p>
      <w:pPr>
        <w:pStyle w:val="TextBody"/>
        <w:bidi w:val="0"/>
        <w:spacing w:before="3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center"/>
        <w:rPr>
          <w:rFonts w:ascii="Times New Roman" w:hAnsi="Times New Roman"/>
          <w:sz w:val="20"/>
        </w:rPr>
      </w:pPr>
      <w:bookmarkStart w:id="12" w:name="householding"/>
      <w:bookmarkEnd w:id="12"/>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SEC has adopted rules that permit companies and intermediaries (for example,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This year, a number of brokers with account holders who are our stockholders will be “householding” our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Sensei Biotherapeutics, Inc., Attn: Secretary, 1405 Research Blvd, Suite 125, Rockville, Maryland 20850. Stockholders who currently receive multiple copies of the Annual Meeting materials at their addresses and would like to request “householding” of their communications should contact their brokers.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othermatters"/>
      <w:bookmarkEnd w:id="13"/>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By Order of the Board of Directors </w:t>
      </w:r>
    </w:p>
    <w:p>
      <w:pPr>
        <w:pStyle w:val="TextBody"/>
        <w:bidi w:val="0"/>
        <w:jc w:val="left"/>
        <w:rPr>
          <w:rFonts w:ascii="Times New Roman" w:hAnsi="Times New Roman"/>
          <w:color w:val="000000"/>
          <w:sz w:val="20"/>
        </w:rPr>
      </w:pPr>
      <w:r>
        <w:rPr>
          <w:rFonts w:ascii="Times New Roman" w:hAnsi="Times New Roman"/>
          <w:color w:val="000000"/>
          <w:sz w:val="20"/>
        </w:rPr>
        <w:t>/s/ Christopher W. Gerry</w:t>
      </w:r>
    </w:p>
    <w:p>
      <w:pPr>
        <w:pStyle w:val="TextBody"/>
        <w:bidi w:val="0"/>
        <w:jc w:val="left"/>
        <w:rPr>
          <w:rFonts w:ascii="Times New Roman" w:hAnsi="Times New Roman"/>
          <w:sz w:val="20"/>
        </w:rPr>
      </w:pPr>
      <w:r>
        <w:rPr>
          <w:rFonts w:ascii="Times New Roman" w:hAnsi="Times New Roman"/>
          <w:b/>
          <w:color w:val="000000"/>
          <w:sz w:val="20"/>
        </w:rPr>
        <w:t>Christopher W. Gerry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Counsel and Secretary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Dated: April 29,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copy of our Annual Report on Form 10-K for the fiscal year ended December 31, 2023 is available without charge upon written request to: Corporate Secretary, Sensei Biotherapeutics, Inc., 1405 Research Blvd, Suite 125, Rockville, Maryland 20850.</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86550" cy="864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86550" cy="8648700"/>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Style IPC P.O. BOX 8016, CARY, NC 27512-9903 Have your ballot ready and please use one of the methods below for easy voting: Your vote matters! Have the 12 digit control number located in the box above available when you access the website and follow the instructions. Your control number Scan QR for digital voting Internet: Sensei Biotherapeutics, Inc. Annual Meeting of Stockholders www.proxypush.com/SNSE  Cast your vote online  Have your Proxy Card ready  Follow the simple instructions to record your vote For Stockholders of record as of April 22, 2024 Tuesday, June 11, 2024 9:00 AM, Eastern Time Annual Meeting to be held live webcast - please visit www.proxydocs.com/SNSE for more details. Phone: 1-866-284-5317  Use any touch-tone telephone  Have your Proxy Card ready  Follow the simple recorded instructions Mail:  Mark, sign and date your Proxy Card  Fold and return your Proxy Card in the postage-paid YOUR VOTE IS IMPORTANT! envelope provided PLEASE VOTE BY: 9:00 AM, Eastern Time, June 11, 2024. Virtual: You must register to attend the meeting online and/or participate at www.proxydocs.com/SNSE This proxy is being solicited on behalf of the Board of Directors The undersigned hereby appoints John Celebi and Christopher W. Gerry (the "Named Proxies"), and each or either of them, as the true and lawful attorneys of the undersigned, with full power of substitution and revocation, and authorizes them, and each of them, to vote all the shares of capital stock of Sensei Biotherapeutics,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2024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86550" cy="863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86550" cy="8639175"/>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Sensei Biotherapeutics, Inc. Annual Meeting of Stockholders Please make your marks like this: THE BOARD OF DIRECTORS RECOMMENDS A VOTE: FOR ON PROPOSALS 1 AND 2 BOARD OF DIRECTORS PROPOSAL YOUR VOTE RECOMMENDS 1. To elect the three Board's nominees to the Board of Directors to hold office until the 2027 Annual Meeting of Stockholders. FOR WITHHOLD 1.01 Jessie English FOR #P2# #P2# 1.02 James Peyer FOR #P3# #P3# 1.03 Thomas Ricks FOR #P4# #P4# FOR AGAINST ABSTAIN 2. Ratification of selection by the Audit Committee of the Board of Directors of Deloitte &amp; Touche FOR #P5# #P5# #P5# LLP as the independent registered public accounting firm of the Company for the year ending December 31, 2024. 3. To conduct any other business properly brought before the meeting. You must register to attend the meeting online and/or participate at www.proxydocs.com/SNSE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Signature (if held jointly)</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19955</Words>
  <Characters>107155</Characters>
  <CharactersWithSpaces>127595</CharactersWithSpaces>
  <Paragraphs>2383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